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7F43919" w14:textId="52FD3B67" w:rsidR="00E35112" w:rsidRDefault="00FA1E5B">
      <w:pPr>
        <w:pStyle w:val="Normal1"/>
      </w:pPr>
      <w:r>
        <w:rPr>
          <w:b/>
          <w:u w:val="single"/>
        </w:rPr>
        <w:t xml:space="preserve">Genetic </w:t>
      </w:r>
      <w:r w:rsidR="006C5FBB">
        <w:rPr>
          <w:b/>
          <w:u w:val="single"/>
        </w:rPr>
        <w:t>resource</w:t>
      </w:r>
      <w:r w:rsidR="00C90CA5">
        <w:rPr>
          <w:b/>
          <w:u w:val="single"/>
        </w:rPr>
        <w:t xml:space="preserve">s </w:t>
      </w:r>
      <w:r w:rsidR="006C5FBB">
        <w:rPr>
          <w:b/>
          <w:u w:val="single"/>
        </w:rPr>
        <w:t>in</w:t>
      </w:r>
      <w:r>
        <w:rPr>
          <w:b/>
          <w:u w:val="single"/>
        </w:rPr>
        <w:t xml:space="preserve"> the age of the Nagoya Protocol and </w:t>
      </w:r>
      <w:r w:rsidR="006C5FBB">
        <w:rPr>
          <w:b/>
          <w:u w:val="single"/>
        </w:rPr>
        <w:t>gene/genome synthesis</w:t>
      </w:r>
      <w:r w:rsidR="00D07744">
        <w:rPr>
          <w:b/>
          <w:u w:val="single"/>
        </w:rPr>
        <w:t xml:space="preserve"> </w:t>
      </w:r>
    </w:p>
    <w:p w14:paraId="5F3F2BE7" w14:textId="77777777" w:rsidR="00E35112" w:rsidRDefault="00E35112">
      <w:pPr>
        <w:pStyle w:val="Normal1"/>
      </w:pPr>
    </w:p>
    <w:p w14:paraId="15842320" w14:textId="1A04F2AF" w:rsidR="00E35112" w:rsidRDefault="006C5FBB">
      <w:pPr>
        <w:pStyle w:val="Normal1"/>
        <w:numPr>
          <w:ilvl w:val="0"/>
          <w:numId w:val="2"/>
        </w:numPr>
        <w:ind w:hanging="360"/>
        <w:contextualSpacing/>
      </w:pPr>
      <w:r>
        <w:t xml:space="preserve">When - </w:t>
      </w:r>
      <w:r w:rsidR="00835A00">
        <w:t>mid</w:t>
      </w:r>
      <w:r>
        <w:t xml:space="preserve"> November 2016</w:t>
      </w:r>
    </w:p>
    <w:p w14:paraId="09442CD0" w14:textId="3C032630" w:rsidR="00E35112" w:rsidRDefault="006C5FBB">
      <w:pPr>
        <w:pStyle w:val="Normal1"/>
        <w:numPr>
          <w:ilvl w:val="0"/>
          <w:numId w:val="2"/>
        </w:numPr>
        <w:ind w:hanging="360"/>
        <w:contextualSpacing/>
      </w:pPr>
      <w:r>
        <w:t>Where - Cambridge (or perhaps Kew Gardens</w:t>
      </w:r>
      <w:r w:rsidR="009002A1">
        <w:t xml:space="preserve"> if financially manageable</w:t>
      </w:r>
      <w:r>
        <w:t xml:space="preserve">?) </w:t>
      </w:r>
    </w:p>
    <w:p w14:paraId="04373CB7" w14:textId="162D6A26" w:rsidR="00267674" w:rsidRDefault="006C5FBB">
      <w:pPr>
        <w:pStyle w:val="Normal1"/>
        <w:numPr>
          <w:ilvl w:val="0"/>
          <w:numId w:val="2"/>
        </w:numPr>
        <w:ind w:hanging="360"/>
        <w:contextualSpacing/>
      </w:pPr>
      <w:r>
        <w:t>What - 1 day</w:t>
      </w:r>
      <w:r w:rsidR="005E03EF">
        <w:t xml:space="preserve"> workshop. 3 panels, each with 4</w:t>
      </w:r>
      <w:r>
        <w:t xml:space="preserve"> speakers, who have 5 minutes to speak before we open it up to group discussion.</w:t>
      </w:r>
    </w:p>
    <w:p w14:paraId="068D8230" w14:textId="619E761B" w:rsidR="00F72298" w:rsidRDefault="005E03EF" w:rsidP="005E03EF">
      <w:pPr>
        <w:pStyle w:val="Normal1"/>
        <w:numPr>
          <w:ilvl w:val="0"/>
          <w:numId w:val="2"/>
        </w:numPr>
        <w:ind w:hanging="360"/>
        <w:contextualSpacing/>
      </w:pPr>
      <w:r>
        <w:t xml:space="preserve">Purpose - </w:t>
      </w:r>
      <w:r w:rsidR="00813A5E">
        <w:t>To provi</w:t>
      </w:r>
      <w:r>
        <w:t>de an open forum for discussion</w:t>
      </w:r>
      <w:r w:rsidR="00813A5E">
        <w:t xml:space="preserve"> on</w:t>
      </w:r>
      <w:r w:rsidR="00217103">
        <w:t>:</w:t>
      </w:r>
      <w:r w:rsidR="00813A5E">
        <w:t xml:space="preserve"> th</w:t>
      </w:r>
      <w:r>
        <w:t>e current range of practices of genetic resource collection</w:t>
      </w:r>
      <w:r w:rsidR="00C90CA5">
        <w:t>, circulation,</w:t>
      </w:r>
      <w:r>
        <w:t xml:space="preserve"> and </w:t>
      </w:r>
      <w:r w:rsidR="00217103">
        <w:t>use;</w:t>
      </w:r>
      <w:r>
        <w:t xml:space="preserve"> the implementation of the Nagoya P</w:t>
      </w:r>
      <w:r w:rsidR="00813A5E">
        <w:t>rotocol to date</w:t>
      </w:r>
      <w:r w:rsidR="00217103">
        <w:t>;</w:t>
      </w:r>
      <w:r w:rsidR="00813A5E">
        <w:t xml:space="preserve"> </w:t>
      </w:r>
      <w:r>
        <w:t>and the</w:t>
      </w:r>
      <w:r w:rsidR="00813A5E">
        <w:t xml:space="preserve"> possible changes</w:t>
      </w:r>
      <w:r w:rsidR="00985B03">
        <w:t xml:space="preserve"> or challenges</w:t>
      </w:r>
      <w:r w:rsidR="00813A5E">
        <w:t xml:space="preserve"> that </w:t>
      </w:r>
      <w:r w:rsidR="00217103">
        <w:t xml:space="preserve">may </w:t>
      </w:r>
      <w:r w:rsidR="00813A5E">
        <w:t xml:space="preserve">arise as a result of </w:t>
      </w:r>
      <w:r>
        <w:t xml:space="preserve">gene and </w:t>
      </w:r>
      <w:r w:rsidR="00985B03">
        <w:t>whole genome synthesis.</w:t>
      </w:r>
      <w:r w:rsidR="00451AA6">
        <w:t xml:space="preserve">  </w:t>
      </w:r>
    </w:p>
    <w:p w14:paraId="6D9EEED8" w14:textId="77777777" w:rsidR="00E35112" w:rsidRDefault="00E35112">
      <w:pPr>
        <w:pStyle w:val="Normal1"/>
      </w:pPr>
    </w:p>
    <w:p w14:paraId="053DC0F8" w14:textId="77777777" w:rsidR="00E35112" w:rsidRDefault="006C5FBB">
      <w:pPr>
        <w:pStyle w:val="Normal1"/>
      </w:pPr>
      <w:r>
        <w:rPr>
          <w:b/>
          <w:u w:val="single"/>
        </w:rPr>
        <w:t>Proposal Overview</w:t>
      </w:r>
    </w:p>
    <w:p w14:paraId="2D209E2C" w14:textId="24DF9C03" w:rsidR="00E35112" w:rsidRDefault="00B4558C">
      <w:pPr>
        <w:pStyle w:val="Normal1"/>
      </w:pPr>
      <w:r>
        <w:t>B</w:t>
      </w:r>
      <w:r w:rsidR="006C5FBB">
        <w:t>iological resources are valued in numerous ways by multiple stakeholders</w:t>
      </w:r>
      <w:r w:rsidR="00D01E13">
        <w:t xml:space="preserve">, from </w:t>
      </w:r>
      <w:r w:rsidR="00674530">
        <w:t xml:space="preserve">local </w:t>
      </w:r>
      <w:r w:rsidR="00D01E13">
        <w:t xml:space="preserve">communities employing traditional uses, to </w:t>
      </w:r>
      <w:r w:rsidR="00D8502F">
        <w:t xml:space="preserve">research institutions navigating commercial and non-commercial spaces, to </w:t>
      </w:r>
      <w:r w:rsidR="00D01E13">
        <w:t xml:space="preserve">corporations </w:t>
      </w:r>
      <w:r w:rsidR="00D8502F">
        <w:t>prospecting for new products, to</w:t>
      </w:r>
      <w:r w:rsidR="00D01E13">
        <w:t xml:space="preserve"> governments seeking to build a </w:t>
      </w:r>
      <w:proofErr w:type="spellStart"/>
      <w:r w:rsidR="00D01E13">
        <w:t>bioeconomy</w:t>
      </w:r>
      <w:proofErr w:type="spellEnd"/>
      <w:r w:rsidR="006C5FBB" w:rsidRPr="003E1566">
        <w:rPr>
          <w:i/>
        </w:rPr>
        <w:t xml:space="preserve">. </w:t>
      </w:r>
      <w:r w:rsidR="007345AD">
        <w:t>The confluence of science, nation building, and geopolitics have always been subject to considerable tension, though in the case of biological resources, it was only in</w:t>
      </w:r>
      <w:r w:rsidR="006C5FBB">
        <w:t xml:space="preserve"> the</w:t>
      </w:r>
      <w:r w:rsidR="007345AD">
        <w:t xml:space="preserve"> late twentieth century that</w:t>
      </w:r>
      <w:r w:rsidR="006C5FBB">
        <w:t xml:space="preserve"> </w:t>
      </w:r>
      <w:r w:rsidR="000540FD">
        <w:t>grievances with</w:t>
      </w:r>
      <w:r w:rsidR="007345AD">
        <w:t xml:space="preserve"> certain practices gained broad attention.</w:t>
      </w:r>
      <w:r w:rsidR="000564FE">
        <w:t xml:space="preserve"> Politicians, representatives of </w:t>
      </w:r>
      <w:r w:rsidR="00217103">
        <w:t xml:space="preserve">indigenous communities, </w:t>
      </w:r>
      <w:r w:rsidR="000564FE">
        <w:t>civil society</w:t>
      </w:r>
      <w:r w:rsidR="00217103">
        <w:t xml:space="preserve"> organisations</w:t>
      </w:r>
      <w:r w:rsidR="000564FE">
        <w:t>, and</w:t>
      </w:r>
      <w:r w:rsidR="007345AD">
        <w:t xml:space="preserve"> </w:t>
      </w:r>
      <w:r w:rsidR="000564FE">
        <w:t xml:space="preserve">academic actors identified problems with the collection, </w:t>
      </w:r>
      <w:r w:rsidR="00217103">
        <w:t>circulation</w:t>
      </w:r>
      <w:r w:rsidR="000564FE">
        <w:t xml:space="preserve">, and use of </w:t>
      </w:r>
      <w:r w:rsidR="004900E7">
        <w:t xml:space="preserve">historic and contemporary </w:t>
      </w:r>
      <w:r w:rsidR="000564FE">
        <w:t>biological resources.</w:t>
      </w:r>
      <w:r w:rsidR="00080E34">
        <w:t xml:space="preserve"> </w:t>
      </w:r>
      <w:r w:rsidR="004900E7">
        <w:t>They drew particular attention to b</w:t>
      </w:r>
      <w:r w:rsidR="00080E34">
        <w:t>ioprospecting</w:t>
      </w:r>
      <w:r w:rsidR="000564FE">
        <w:t xml:space="preserve">, </w:t>
      </w:r>
      <w:r w:rsidR="004900E7">
        <w:t>t</w:t>
      </w:r>
      <w:r w:rsidR="00080E34">
        <w:t xml:space="preserve">he pursuit </w:t>
      </w:r>
      <w:r w:rsidR="004900E7">
        <w:softHyphen/>
      </w:r>
      <w:r w:rsidR="00080E34">
        <w:t xml:space="preserve">by an individual, </w:t>
      </w:r>
      <w:r w:rsidR="00187AA4">
        <w:t>company</w:t>
      </w:r>
      <w:r w:rsidR="005E03EF">
        <w:t>,</w:t>
      </w:r>
      <w:r w:rsidR="00187AA4">
        <w:t xml:space="preserve"> or</w:t>
      </w:r>
      <w:r w:rsidR="00080E34">
        <w:t xml:space="preserve"> national</w:t>
      </w:r>
      <w:r w:rsidR="00187AA4">
        <w:t xml:space="preserve"> institution</w:t>
      </w:r>
      <w:r w:rsidR="006F0264">
        <w:t>,</w:t>
      </w:r>
      <w:r w:rsidR="00187AA4">
        <w:t xml:space="preserve"> of b</w:t>
      </w:r>
      <w:r w:rsidR="006C5FBB">
        <w:t xml:space="preserve">iomaterials </w:t>
      </w:r>
      <w:r w:rsidR="00080E34">
        <w:t>located outside of their own state</w:t>
      </w:r>
      <w:r w:rsidR="00217103">
        <w:t xml:space="preserve"> or</w:t>
      </w:r>
      <w:r w:rsidR="00080E34">
        <w:t xml:space="preserve"> immediate research context (</w:t>
      </w:r>
      <w:r w:rsidR="005E03EF">
        <w:t xml:space="preserve">for example, </w:t>
      </w:r>
      <w:r w:rsidR="00080E34">
        <w:t xml:space="preserve">the pursuit of landraces in one’s own country). </w:t>
      </w:r>
      <w:r w:rsidR="00217103">
        <w:t>S</w:t>
      </w:r>
      <w:r w:rsidR="00080E34">
        <w:t>ome cases</w:t>
      </w:r>
      <w:r w:rsidR="00217103">
        <w:t xml:space="preserve"> of bioprospecting</w:t>
      </w:r>
      <w:r w:rsidR="00080E34">
        <w:t xml:space="preserve"> involve unmedia</w:t>
      </w:r>
      <w:r w:rsidR="004900E7">
        <w:t xml:space="preserve">ted collecting expeditions, but </w:t>
      </w:r>
      <w:r w:rsidR="00080E34">
        <w:t>often</w:t>
      </w:r>
      <w:r w:rsidR="004900E7">
        <w:t xml:space="preserve"> a prospector relies upon local knowledge and e</w:t>
      </w:r>
      <w:r w:rsidR="00C34CCD">
        <w:t xml:space="preserve">xpertise. </w:t>
      </w:r>
      <w:r w:rsidR="00080E34">
        <w:t>T</w:t>
      </w:r>
      <w:r w:rsidR="00187AA4">
        <w:t>he</w:t>
      </w:r>
      <w:r w:rsidR="00080E34">
        <w:t>se collecting activities are pursued with the intent</w:t>
      </w:r>
      <w:r w:rsidR="006522C1">
        <w:t>ion of reaping multiple benefits</w:t>
      </w:r>
      <w:r w:rsidR="003E62E9">
        <w:t xml:space="preserve">, whether </w:t>
      </w:r>
      <w:r w:rsidR="00080E34">
        <w:t>revenue from</w:t>
      </w:r>
      <w:r w:rsidR="00C34CCD">
        <w:t xml:space="preserve"> industrial processes</w:t>
      </w:r>
      <w:r w:rsidR="003E62E9">
        <w:t xml:space="preserve">, </w:t>
      </w:r>
      <w:r w:rsidR="00C34CCD">
        <w:t>advancement</w:t>
      </w:r>
      <w:r w:rsidR="00080E34">
        <w:t xml:space="preserve"> </w:t>
      </w:r>
      <w:r w:rsidR="00C34CCD">
        <w:t>in one’</w:t>
      </w:r>
      <w:r w:rsidR="003E62E9">
        <w:t>s research, or contributing to conservation campaigns.</w:t>
      </w:r>
      <w:r w:rsidR="00217103">
        <w:t xml:space="preserve"> </w:t>
      </w:r>
      <w:r w:rsidR="003E62E9">
        <w:t xml:space="preserve">The most controversial cases have </w:t>
      </w:r>
      <w:r w:rsidR="00080E34">
        <w:t>involv</w:t>
      </w:r>
      <w:r w:rsidR="003E62E9">
        <w:t>ed</w:t>
      </w:r>
      <w:r w:rsidR="00080E34">
        <w:t xml:space="preserve"> the imposition of intellectual property rights, </w:t>
      </w:r>
      <w:r w:rsidR="003E62E9">
        <w:t xml:space="preserve">which secure </w:t>
      </w:r>
      <w:r w:rsidR="00217103">
        <w:t xml:space="preserve">such </w:t>
      </w:r>
      <w:r w:rsidR="003E62E9">
        <w:t>benefits for a select few,</w:t>
      </w:r>
      <w:r w:rsidR="00080E34">
        <w:t xml:space="preserve"> wit</w:t>
      </w:r>
      <w:r w:rsidR="003E62E9">
        <w:t>hout return</w:t>
      </w:r>
      <w:r w:rsidR="00080E34">
        <w:t xml:space="preserve"> </w:t>
      </w:r>
      <w:r w:rsidR="001B58E4">
        <w:t>to the communities or countries of origin</w:t>
      </w:r>
      <w:r w:rsidR="00CF26D5">
        <w:t xml:space="preserve">. </w:t>
      </w:r>
    </w:p>
    <w:p w14:paraId="27878B18" w14:textId="41A9A49C" w:rsidR="002931BF" w:rsidRDefault="006C5FBB" w:rsidP="009C0A6C">
      <w:pPr>
        <w:pStyle w:val="Normal1"/>
        <w:ind w:firstLine="720"/>
      </w:pPr>
      <w:r>
        <w:t xml:space="preserve">These debates culminated in a number of international agreements, most </w:t>
      </w:r>
      <w:r w:rsidR="00217103">
        <w:t xml:space="preserve">notably </w:t>
      </w:r>
      <w:r>
        <w:t>the Convention on Biological Diversity (</w:t>
      </w:r>
      <w:r w:rsidR="00217103">
        <w:t xml:space="preserve">CBD, </w:t>
      </w:r>
      <w:r>
        <w:t>effective since 1993)</w:t>
      </w:r>
      <w:r w:rsidR="00217103">
        <w:t>.</w:t>
      </w:r>
      <w:r w:rsidR="00424B67">
        <w:t xml:space="preserve"> </w:t>
      </w:r>
      <w:r w:rsidR="00217103">
        <w:t>The Convention’s</w:t>
      </w:r>
      <w:r w:rsidR="00424B67">
        <w:t xml:space="preserve"> objectives are</w:t>
      </w:r>
      <w:r w:rsidR="002931BF">
        <w:t xml:space="preserve"> the </w:t>
      </w:r>
      <w:r w:rsidR="00674530">
        <w:t>conservation of biodiversity</w:t>
      </w:r>
      <w:r w:rsidR="00217103">
        <w:t>,</w:t>
      </w:r>
      <w:r w:rsidR="00674530">
        <w:t xml:space="preserve"> its </w:t>
      </w:r>
      <w:r w:rsidR="002931BF">
        <w:t>sustainable use</w:t>
      </w:r>
      <w:r w:rsidR="00424B67">
        <w:t xml:space="preserve">, </w:t>
      </w:r>
      <w:r w:rsidR="00217103">
        <w:t>and the</w:t>
      </w:r>
      <w:r w:rsidR="002931BF">
        <w:t xml:space="preserve"> fair and equitable sharing of benefits arising from the utilization of genetic resources. </w:t>
      </w:r>
      <w:r w:rsidR="00217103">
        <w:t>T</w:t>
      </w:r>
      <w:r w:rsidR="002931BF">
        <w:t xml:space="preserve">he CBD </w:t>
      </w:r>
      <w:r>
        <w:t xml:space="preserve">established </w:t>
      </w:r>
      <w:r w:rsidR="00CF26D5">
        <w:t xml:space="preserve">that genetic resources were not a common heritage of humanity, but </w:t>
      </w:r>
      <w:r w:rsidR="00217103">
        <w:t>for the most part</w:t>
      </w:r>
      <w:r w:rsidR="003E62E9">
        <w:t xml:space="preserve"> </w:t>
      </w:r>
      <w:r w:rsidR="00CF26D5">
        <w:t>under the sovereign</w:t>
      </w:r>
      <w:r w:rsidR="002931BF">
        <w:t xml:space="preserve"> control of countries. </w:t>
      </w:r>
      <w:r w:rsidR="009C0A6C">
        <w:t xml:space="preserve">The Convention established principles for </w:t>
      </w:r>
      <w:r w:rsidR="002931BF">
        <w:t>“access and benefit-sharing”</w:t>
      </w:r>
      <w:r w:rsidR="009C0A6C">
        <w:t xml:space="preserve"> (ABS)</w:t>
      </w:r>
      <w:r w:rsidR="002931BF">
        <w:t xml:space="preserve"> </w:t>
      </w:r>
      <w:r w:rsidR="009C0A6C">
        <w:t xml:space="preserve">of genetic resources, which were further developed in the Bonn Guidelines. The adoption of </w:t>
      </w:r>
      <w:r>
        <w:t xml:space="preserve">the Nagoya </w:t>
      </w:r>
      <w:r w:rsidR="00686103">
        <w:t>P</w:t>
      </w:r>
      <w:r>
        <w:t>rotocol in 2010</w:t>
      </w:r>
      <w:r w:rsidR="009C0A6C">
        <w:t xml:space="preserve"> provid</w:t>
      </w:r>
      <w:r w:rsidR="00217103">
        <w:t>ed</w:t>
      </w:r>
      <w:r w:rsidR="009C0A6C">
        <w:t xml:space="preserve"> a </w:t>
      </w:r>
      <w:r w:rsidR="00217103">
        <w:t xml:space="preserve">specific, binding </w:t>
      </w:r>
      <w:r w:rsidR="009C0A6C">
        <w:t>legal framework for ABS</w:t>
      </w:r>
      <w:r w:rsidR="00A56B0E">
        <w:t xml:space="preserve"> of genetic resources and associated traditional knowledge</w:t>
      </w:r>
      <w:r>
        <w:t xml:space="preserve">. </w:t>
      </w:r>
      <w:r w:rsidR="00AD2B27">
        <w:t>Parties to t</w:t>
      </w:r>
      <w:r w:rsidR="00CF26D5">
        <w:t xml:space="preserve">he Nagoya Protocol </w:t>
      </w:r>
      <w:r w:rsidR="00AD2B27">
        <w:t xml:space="preserve">must take measures </w:t>
      </w:r>
      <w:r w:rsidR="00D96175">
        <w:t xml:space="preserve">including </w:t>
      </w:r>
      <w:r w:rsidR="00AD2B27">
        <w:t>clear access procedures</w:t>
      </w:r>
      <w:r w:rsidR="00674530">
        <w:t xml:space="preserve"> (</w:t>
      </w:r>
      <w:r w:rsidR="00AD2B27">
        <w:t>such as prior informed consent</w:t>
      </w:r>
      <w:r w:rsidR="00674530">
        <w:t>)</w:t>
      </w:r>
      <w:r w:rsidR="00AD2B27">
        <w:t xml:space="preserve">, that the </w:t>
      </w:r>
      <w:r w:rsidR="00D96175">
        <w:t xml:space="preserve">benefits arising from the utilization of genetic resources are shared with the </w:t>
      </w:r>
      <w:r w:rsidR="00AD2B27">
        <w:t xml:space="preserve">country </w:t>
      </w:r>
      <w:r w:rsidR="00D96175">
        <w:t>of origin,</w:t>
      </w:r>
      <w:r w:rsidR="00AD2B27">
        <w:t xml:space="preserve"> and that Parties support compliance. In late 2015, the UK </w:t>
      </w:r>
      <w:r w:rsidR="00796E05">
        <w:t>passed</w:t>
      </w:r>
      <w:r w:rsidR="00AD2B27">
        <w:t xml:space="preserve"> </w:t>
      </w:r>
      <w:r w:rsidR="00796E05">
        <w:t>regulations to implement EU regulation</w:t>
      </w:r>
      <w:r w:rsidR="004157E4">
        <w:t xml:space="preserve"> 511/2014, providing measures for </w:t>
      </w:r>
      <w:r w:rsidR="00796E05">
        <w:t>compliance with the Nagoya Protocol.</w:t>
      </w:r>
    </w:p>
    <w:p w14:paraId="34E65DA2" w14:textId="17943090" w:rsidR="00E35112" w:rsidRDefault="00796E05" w:rsidP="00971416">
      <w:pPr>
        <w:pStyle w:val="Normal1"/>
        <w:ind w:firstLine="720"/>
      </w:pPr>
      <w:r w:rsidRPr="003E1566">
        <w:t xml:space="preserve">But do these legal frameworks reflect </w:t>
      </w:r>
      <w:r w:rsidR="00740C6F">
        <w:t xml:space="preserve">recent </w:t>
      </w:r>
      <w:r w:rsidRPr="003E1566">
        <w:t>developments</w:t>
      </w:r>
      <w:r>
        <w:t xml:space="preserve"> and trends</w:t>
      </w:r>
      <w:r w:rsidRPr="003E1566">
        <w:t xml:space="preserve"> in the utilization of genetic resources?</w:t>
      </w:r>
      <w:r>
        <w:rPr>
          <w:i/>
        </w:rPr>
        <w:t xml:space="preserve"> </w:t>
      </w:r>
      <w:r w:rsidR="006C5FBB">
        <w:t>Late twentieth and early twent</w:t>
      </w:r>
      <w:r w:rsidR="00C57F76">
        <w:t>y-first</w:t>
      </w:r>
      <w:r w:rsidR="006C5FBB">
        <w:t xml:space="preserve"> century debate </w:t>
      </w:r>
      <w:r w:rsidR="00D96175">
        <w:t>seems to have</w:t>
      </w:r>
      <w:r w:rsidR="006F0264">
        <w:t xml:space="preserve"> often</w:t>
      </w:r>
      <w:r w:rsidR="00D96175">
        <w:t xml:space="preserve"> </w:t>
      </w:r>
      <w:r w:rsidR="006C5FBB">
        <w:t>assumed</w:t>
      </w:r>
      <w:r w:rsidR="00D96175">
        <w:t xml:space="preserve"> </w:t>
      </w:r>
      <w:r w:rsidR="006C5FBB">
        <w:t xml:space="preserve">that valuable biological material would always need to be </w:t>
      </w:r>
      <w:r w:rsidR="00CF26D5" w:rsidRPr="00893F6A">
        <w:rPr>
          <w:i/>
        </w:rPr>
        <w:t>physically</w:t>
      </w:r>
      <w:r w:rsidR="00CF26D5">
        <w:t xml:space="preserve"> </w:t>
      </w:r>
      <w:r w:rsidR="006C5FBB">
        <w:t xml:space="preserve">transferred. </w:t>
      </w:r>
      <w:r w:rsidR="00A56B0E">
        <w:t xml:space="preserve">The on-going </w:t>
      </w:r>
      <w:r w:rsidR="006C5FBB">
        <w:t xml:space="preserve">improvement of </w:t>
      </w:r>
      <w:r>
        <w:t>gene and</w:t>
      </w:r>
      <w:r w:rsidR="00A56B0E">
        <w:t xml:space="preserve"> </w:t>
      </w:r>
      <w:r w:rsidR="006861CF">
        <w:t xml:space="preserve">whole </w:t>
      </w:r>
      <w:r w:rsidR="006C5FBB">
        <w:t>genome</w:t>
      </w:r>
      <w:r w:rsidR="00EC213C">
        <w:t xml:space="preserve"> sequencing and </w:t>
      </w:r>
      <w:r w:rsidR="006C5FBB">
        <w:lastRenderedPageBreak/>
        <w:t xml:space="preserve">synthesis technologies </w:t>
      </w:r>
      <w:r w:rsidR="00A56B0E">
        <w:t xml:space="preserve">presents possibilities of new practices, </w:t>
      </w:r>
      <w:r w:rsidR="006C5FBB">
        <w:t xml:space="preserve">and demands discussion and debate in light of the long history of global </w:t>
      </w:r>
      <w:proofErr w:type="spellStart"/>
      <w:r w:rsidR="006C5FBB">
        <w:t>bioresource</w:t>
      </w:r>
      <w:proofErr w:type="spellEnd"/>
      <w:r w:rsidR="006C5FBB">
        <w:t xml:space="preserve"> management. The proposed workshop acts as a venue for collecting information on </w:t>
      </w:r>
      <w:r w:rsidR="00122E9F">
        <w:t xml:space="preserve">current </w:t>
      </w:r>
      <w:r w:rsidR="006C5FBB">
        <w:t xml:space="preserve">developments, sharing views, highlighting potential </w:t>
      </w:r>
      <w:r w:rsidR="00183B7C">
        <w:t>areas of concern</w:t>
      </w:r>
      <w:r w:rsidR="006C5FBB">
        <w:t xml:space="preserve">, and </w:t>
      </w:r>
      <w:r w:rsidR="00122E9F">
        <w:t xml:space="preserve">establishing </w:t>
      </w:r>
      <w:r w:rsidR="006C5FBB">
        <w:t>grounds upon which to build</w:t>
      </w:r>
      <w:r w:rsidR="00183B7C">
        <w:t xml:space="preserve"> </w:t>
      </w:r>
      <w:r w:rsidR="003C61F4">
        <w:t>better understanding of the interactions between and implications of the Nagoya Protocol and gene synthesis for collection</w:t>
      </w:r>
      <w:r w:rsidR="007169A4">
        <w:t>, circulation,</w:t>
      </w:r>
      <w:r w:rsidR="003C61F4">
        <w:t xml:space="preserve"> and use of genetic resources</w:t>
      </w:r>
      <w:r w:rsidR="006C5FBB">
        <w:t>.</w:t>
      </w:r>
    </w:p>
    <w:p w14:paraId="33B07385" w14:textId="77777777" w:rsidR="00796E05" w:rsidRDefault="00796E05">
      <w:pPr>
        <w:pStyle w:val="Normal1"/>
        <w:rPr>
          <w:b/>
          <w:u w:val="single"/>
        </w:rPr>
      </w:pPr>
    </w:p>
    <w:p w14:paraId="38A83567" w14:textId="77777777" w:rsidR="00267674" w:rsidRDefault="00267674" w:rsidP="00267674">
      <w:pPr>
        <w:pStyle w:val="Normal1"/>
      </w:pPr>
      <w:r>
        <w:rPr>
          <w:b/>
          <w:u w:val="single"/>
        </w:rPr>
        <w:t>Research questions</w:t>
      </w:r>
    </w:p>
    <w:p w14:paraId="28157AD3" w14:textId="77777777" w:rsidR="00267674" w:rsidRDefault="00267674" w:rsidP="00267674">
      <w:pPr>
        <w:pStyle w:val="Normal1"/>
      </w:pPr>
    </w:p>
    <w:p w14:paraId="21ADA7D0" w14:textId="1E0BAB9C" w:rsidR="000D2E99" w:rsidRPr="000D2E99" w:rsidRDefault="000D2E99" w:rsidP="00267674">
      <w:pPr>
        <w:pStyle w:val="Normal1"/>
        <w:rPr>
          <w:i/>
          <w:u w:val="single"/>
        </w:rPr>
      </w:pPr>
      <w:r>
        <w:rPr>
          <w:i/>
          <w:u w:val="single"/>
        </w:rPr>
        <w:t>Legal</w:t>
      </w:r>
    </w:p>
    <w:p w14:paraId="764AF9CE" w14:textId="260B8A41" w:rsidR="00AB0A62" w:rsidRDefault="000D2E99" w:rsidP="000D2E99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  <w:r w:rsidRPr="000D2E99">
        <w:rPr>
          <w:lang w:val="en-US"/>
        </w:rPr>
        <w:t>What are the underlying goals of the Nagoya Protocol, and the means of compliance in the UK and EU?</w:t>
      </w:r>
      <w:r w:rsidR="00AB0A62">
        <w:rPr>
          <w:lang w:val="en-US"/>
        </w:rPr>
        <w:t xml:space="preserve"> </w:t>
      </w:r>
    </w:p>
    <w:p w14:paraId="747096D8" w14:textId="66FF1AED" w:rsidR="000D2E99" w:rsidRPr="000D2E99" w:rsidRDefault="00B80F6E" w:rsidP="000D2E99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  <w:r>
        <w:rPr>
          <w:lang w:val="en-US"/>
        </w:rPr>
        <w:t>Some</w:t>
      </w:r>
      <w:r w:rsidR="000D2E99" w:rsidRPr="000D2E99">
        <w:rPr>
          <w:lang w:val="en-US"/>
        </w:rPr>
        <w:t xml:space="preserve"> practices </w:t>
      </w:r>
      <w:r>
        <w:rPr>
          <w:lang w:val="en-US"/>
        </w:rPr>
        <w:t xml:space="preserve">are </w:t>
      </w:r>
      <w:r w:rsidR="000D2E99" w:rsidRPr="000D2E99">
        <w:rPr>
          <w:lang w:val="en-US"/>
        </w:rPr>
        <w:t>not covered by the</w:t>
      </w:r>
      <w:r w:rsidR="00AB0A62">
        <w:rPr>
          <w:lang w:val="en-US"/>
        </w:rPr>
        <w:t xml:space="preserve"> </w:t>
      </w:r>
      <w:r w:rsidR="000D2E99" w:rsidRPr="000D2E99">
        <w:rPr>
          <w:lang w:val="en-US"/>
        </w:rPr>
        <w:t>UK &amp; EU’s</w:t>
      </w:r>
      <w:r w:rsidR="000D2E99">
        <w:rPr>
          <w:lang w:val="en-US"/>
        </w:rPr>
        <w:t xml:space="preserve"> </w:t>
      </w:r>
      <w:r w:rsidR="000D2E99" w:rsidRPr="000D2E99">
        <w:rPr>
          <w:lang w:val="en-US"/>
        </w:rPr>
        <w:t>implementing regulations (for instance</w:t>
      </w:r>
      <w:r w:rsidR="00AB0A62">
        <w:rPr>
          <w:lang w:val="en-US"/>
        </w:rPr>
        <w:t>,</w:t>
      </w:r>
      <w:r w:rsidR="000D2E99">
        <w:rPr>
          <w:lang w:val="en-US"/>
        </w:rPr>
        <w:t xml:space="preserve"> </w:t>
      </w:r>
      <w:r w:rsidR="000D2E99" w:rsidRPr="000D2E99">
        <w:rPr>
          <w:lang w:val="en-US"/>
        </w:rPr>
        <w:t xml:space="preserve">materials collected before the </w:t>
      </w:r>
      <w:r w:rsidR="00AB0A62">
        <w:rPr>
          <w:lang w:val="en-US"/>
        </w:rPr>
        <w:t>Nagoya Protocol</w:t>
      </w:r>
      <w:r w:rsidR="000D2E99" w:rsidRPr="000D2E99">
        <w:rPr>
          <w:lang w:val="en-US"/>
        </w:rPr>
        <w:t xml:space="preserve"> came into effect</w:t>
      </w:r>
      <w:r>
        <w:rPr>
          <w:lang w:val="en-US"/>
        </w:rPr>
        <w:t xml:space="preserve"> are explicitly not included</w:t>
      </w:r>
      <w:r w:rsidR="000D2E99" w:rsidRPr="000D2E99">
        <w:rPr>
          <w:lang w:val="en-US"/>
        </w:rPr>
        <w:t xml:space="preserve">, </w:t>
      </w:r>
      <w:r>
        <w:rPr>
          <w:lang w:val="en-US"/>
        </w:rPr>
        <w:t xml:space="preserve">while those </w:t>
      </w:r>
      <w:r w:rsidR="000D2E99" w:rsidRPr="000D2E99">
        <w:rPr>
          <w:lang w:val="en-US"/>
        </w:rPr>
        <w:t xml:space="preserve">stored digitally and used to reproduce the original </w:t>
      </w:r>
      <w:r w:rsidR="00217103">
        <w:rPr>
          <w:lang w:val="en-US"/>
        </w:rPr>
        <w:t>sequences</w:t>
      </w:r>
      <w:r w:rsidR="00AB0A62">
        <w:rPr>
          <w:lang w:val="en-US"/>
        </w:rPr>
        <w:t xml:space="preserve"> at a distance</w:t>
      </w:r>
      <w:r w:rsidR="000D2E99" w:rsidRPr="000D2E99">
        <w:rPr>
          <w:lang w:val="en-US"/>
        </w:rPr>
        <w:t xml:space="preserve"> through</w:t>
      </w:r>
      <w:r w:rsidR="000D2E99">
        <w:rPr>
          <w:lang w:val="en-US"/>
        </w:rPr>
        <w:t xml:space="preserve"> DNA </w:t>
      </w:r>
      <w:r w:rsidR="000D2E99" w:rsidRPr="000D2E99">
        <w:rPr>
          <w:lang w:val="en-US"/>
        </w:rPr>
        <w:t>synthesis</w:t>
      </w:r>
      <w:r>
        <w:rPr>
          <w:lang w:val="en-US"/>
        </w:rPr>
        <w:t xml:space="preserve"> are </w:t>
      </w:r>
      <w:r w:rsidR="006F0264">
        <w:rPr>
          <w:lang w:val="en-US"/>
        </w:rPr>
        <w:t>not addressed</w:t>
      </w:r>
      <w:r w:rsidR="000D2E99" w:rsidRPr="000D2E99">
        <w:rPr>
          <w:lang w:val="en-US"/>
        </w:rPr>
        <w:t>)</w:t>
      </w:r>
      <w:r>
        <w:rPr>
          <w:lang w:val="en-US"/>
        </w:rPr>
        <w:t>.</w:t>
      </w:r>
      <w:r w:rsidR="000D2E99" w:rsidRPr="000D2E99">
        <w:rPr>
          <w:lang w:val="en-US"/>
        </w:rPr>
        <w:t xml:space="preserve"> </w:t>
      </w:r>
      <w:r>
        <w:rPr>
          <w:lang w:val="en-US"/>
        </w:rPr>
        <w:t>D</w:t>
      </w:r>
      <w:r w:rsidR="000D2E99" w:rsidRPr="000D2E99">
        <w:rPr>
          <w:lang w:val="en-US"/>
        </w:rPr>
        <w:t>oes th</w:t>
      </w:r>
      <w:r w:rsidR="00EA7DB7">
        <w:rPr>
          <w:lang w:val="en-US"/>
        </w:rPr>
        <w:t>is</w:t>
      </w:r>
      <w:r w:rsidR="000D2E99" w:rsidRPr="000D2E99">
        <w:rPr>
          <w:lang w:val="en-US"/>
        </w:rPr>
        <w:t xml:space="preserve"> lack of explicit legal coverage </w:t>
      </w:r>
      <w:r w:rsidR="00AB0A62">
        <w:rPr>
          <w:lang w:val="en-US"/>
        </w:rPr>
        <w:t>undermine</w:t>
      </w:r>
      <w:r w:rsidR="000D2E99" w:rsidRPr="000D2E99">
        <w:rPr>
          <w:lang w:val="en-US"/>
        </w:rPr>
        <w:t xml:space="preserve"> the goals of ABS?</w:t>
      </w:r>
    </w:p>
    <w:p w14:paraId="2A01B818" w14:textId="4045145F" w:rsidR="000D2E99" w:rsidRPr="000D2E99" w:rsidRDefault="000D2E99" w:rsidP="000D2E99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  <w:r w:rsidRPr="000D2E99">
        <w:rPr>
          <w:lang w:val="en-US"/>
        </w:rPr>
        <w:t xml:space="preserve">In what ways might achieving the ABS goals of the </w:t>
      </w:r>
      <w:r w:rsidR="00AB0A62">
        <w:rPr>
          <w:lang w:val="en-US"/>
        </w:rPr>
        <w:t>Nagoya Protocol</w:t>
      </w:r>
      <w:r w:rsidRPr="000D2E99">
        <w:rPr>
          <w:lang w:val="en-US"/>
        </w:rPr>
        <w:t xml:space="preserve"> also require attention to other areas of international law, </w:t>
      </w:r>
      <w:r w:rsidR="00AB0A62">
        <w:rPr>
          <w:lang w:val="en-US"/>
        </w:rPr>
        <w:t>such as</w:t>
      </w:r>
      <w:r w:rsidRPr="000D2E99">
        <w:rPr>
          <w:lang w:val="en-US"/>
        </w:rPr>
        <w:t xml:space="preserve"> intellectual</w:t>
      </w:r>
      <w:r>
        <w:rPr>
          <w:lang w:val="en-US"/>
        </w:rPr>
        <w:t xml:space="preserve"> </w:t>
      </w:r>
      <w:r w:rsidRPr="000D2E99">
        <w:rPr>
          <w:lang w:val="en-US"/>
        </w:rPr>
        <w:t>property</w:t>
      </w:r>
      <w:r w:rsidR="00EA7DB7">
        <w:rPr>
          <w:lang w:val="en-US"/>
        </w:rPr>
        <w:t>, trade, and the environment</w:t>
      </w:r>
      <w:r w:rsidRPr="000D2E99">
        <w:rPr>
          <w:lang w:val="en-US"/>
        </w:rPr>
        <w:t>?</w:t>
      </w:r>
      <w:r w:rsidR="00AB0A62">
        <w:rPr>
          <w:lang w:val="en-US"/>
        </w:rPr>
        <w:t xml:space="preserve"> </w:t>
      </w:r>
    </w:p>
    <w:p w14:paraId="5BD09411" w14:textId="77777777" w:rsidR="000D2E99" w:rsidRPr="000D2E99" w:rsidRDefault="000D2E99" w:rsidP="000D2E99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</w:p>
    <w:p w14:paraId="6BCD424A" w14:textId="77777777" w:rsidR="000D2E99" w:rsidRPr="000D2E99" w:rsidRDefault="000D2E99" w:rsidP="000D2E99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  <w:r w:rsidRPr="000D2E99">
        <w:rPr>
          <w:i/>
          <w:iCs/>
          <w:u w:val="single"/>
          <w:lang w:val="en-US"/>
        </w:rPr>
        <w:t>Social</w:t>
      </w:r>
    </w:p>
    <w:p w14:paraId="1E8A3F43" w14:textId="63B8EA16" w:rsidR="00134013" w:rsidRPr="000D2E99" w:rsidRDefault="00134013" w:rsidP="00134013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  <w:r w:rsidRPr="000D2E99">
        <w:rPr>
          <w:lang w:val="en-US"/>
        </w:rPr>
        <w:t xml:space="preserve">What are the existing practices of collection, </w:t>
      </w:r>
      <w:r w:rsidR="00EA7DB7">
        <w:rPr>
          <w:lang w:val="en-US"/>
        </w:rPr>
        <w:t>circulation</w:t>
      </w:r>
      <w:r w:rsidRPr="000D2E99">
        <w:rPr>
          <w:lang w:val="en-US"/>
        </w:rPr>
        <w:t>, storing, and use of genetic resources?</w:t>
      </w:r>
    </w:p>
    <w:p w14:paraId="38A99F9E" w14:textId="47F92EB9" w:rsidR="00134013" w:rsidRPr="000D2E99" w:rsidRDefault="00134013" w:rsidP="00134013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  <w:r w:rsidRPr="000D2E99">
        <w:rPr>
          <w:lang w:val="en-US"/>
        </w:rPr>
        <w:t xml:space="preserve">What role, if any, is played by the digital transfer of genetic information in the collection and </w:t>
      </w:r>
      <w:r w:rsidR="00EA7DB7">
        <w:rPr>
          <w:lang w:val="en-US"/>
        </w:rPr>
        <w:t>circulation</w:t>
      </w:r>
      <w:r w:rsidR="00EA7DB7" w:rsidRPr="000D2E99">
        <w:rPr>
          <w:lang w:val="en-US"/>
        </w:rPr>
        <w:t xml:space="preserve"> </w:t>
      </w:r>
      <w:r w:rsidRPr="000D2E99">
        <w:rPr>
          <w:lang w:val="en-US"/>
        </w:rPr>
        <w:t>of genetic resources?</w:t>
      </w:r>
    </w:p>
    <w:p w14:paraId="5E5D45AA" w14:textId="77777777" w:rsidR="00134013" w:rsidRPr="000D2E99" w:rsidRDefault="00134013" w:rsidP="00134013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  <w:r w:rsidRPr="000D2E99">
        <w:rPr>
          <w:lang w:val="en-US"/>
        </w:rPr>
        <w:t>How do practitioners anticipate sourcing of genetic resources will change (if at all) in the near future?</w:t>
      </w:r>
    </w:p>
    <w:p w14:paraId="3C750339" w14:textId="3D825C27" w:rsidR="000D2E99" w:rsidRPr="000D2E99" w:rsidRDefault="000D2E99" w:rsidP="000D2E99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  <w:r w:rsidRPr="000D2E99">
        <w:rPr>
          <w:lang w:val="en-US"/>
        </w:rPr>
        <w:t xml:space="preserve">What range of practitioners have responded to the </w:t>
      </w:r>
      <w:r w:rsidR="00134013">
        <w:rPr>
          <w:lang w:val="en-US"/>
        </w:rPr>
        <w:t>Nagoya Protocol</w:t>
      </w:r>
      <w:r w:rsidRPr="000D2E99">
        <w:rPr>
          <w:lang w:val="en-US"/>
        </w:rPr>
        <w:t>, and how?</w:t>
      </w:r>
    </w:p>
    <w:p w14:paraId="7A817CE3" w14:textId="1CD4FDDE" w:rsidR="00134013" w:rsidRDefault="00134013" w:rsidP="000D2E99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  <w:r>
        <w:rPr>
          <w:lang w:val="en-US"/>
        </w:rPr>
        <w:t>To what extent are those in the biosciences aware of ABS rules on bio-resource management and use</w:t>
      </w:r>
      <w:r w:rsidR="00EA7DB7">
        <w:rPr>
          <w:lang w:val="en-US"/>
        </w:rPr>
        <w:t>, and how are they responding</w:t>
      </w:r>
      <w:r>
        <w:rPr>
          <w:lang w:val="en-US"/>
        </w:rPr>
        <w:t xml:space="preserve">? </w:t>
      </w:r>
    </w:p>
    <w:p w14:paraId="37E96F1E" w14:textId="321BE300" w:rsidR="000D2E99" w:rsidRPr="000D2E99" w:rsidRDefault="000D2E99" w:rsidP="000D2E99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  <w:r w:rsidRPr="000D2E99">
        <w:rPr>
          <w:lang w:val="en-US"/>
        </w:rPr>
        <w:t>How are those working within the field of synthetic biology relating to, or distancing their work from</w:t>
      </w:r>
      <w:r w:rsidR="00351B32" w:rsidRPr="000D2E99">
        <w:rPr>
          <w:lang w:val="en-US"/>
        </w:rPr>
        <w:t>,</w:t>
      </w:r>
      <w:r w:rsidR="00351B32">
        <w:rPr>
          <w:lang w:val="en-US"/>
        </w:rPr>
        <w:t xml:space="preserve"> </w:t>
      </w:r>
      <w:r w:rsidR="00EA7DB7">
        <w:rPr>
          <w:lang w:val="en-US"/>
        </w:rPr>
        <w:t xml:space="preserve">existing practices of </w:t>
      </w:r>
      <w:r w:rsidR="00351B32" w:rsidRPr="000D2E99">
        <w:rPr>
          <w:lang w:val="en-US"/>
        </w:rPr>
        <w:t>international</w:t>
      </w:r>
      <w:r w:rsidRPr="000D2E99">
        <w:rPr>
          <w:lang w:val="en-US"/>
        </w:rPr>
        <w:t xml:space="preserve"> bio-resource management and use?</w:t>
      </w:r>
    </w:p>
    <w:p w14:paraId="0FE9D88B" w14:textId="65253D6A" w:rsidR="000D2E99" w:rsidRPr="000D2E99" w:rsidRDefault="000D2E99" w:rsidP="000D2E99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  <w:r w:rsidRPr="000D2E99">
        <w:rPr>
          <w:lang w:val="en-US"/>
        </w:rPr>
        <w:t xml:space="preserve">How </w:t>
      </w:r>
      <w:r w:rsidR="00134013">
        <w:rPr>
          <w:lang w:val="en-US"/>
        </w:rPr>
        <w:t>do</w:t>
      </w:r>
      <w:r w:rsidRPr="000D2E99">
        <w:rPr>
          <w:lang w:val="en-US"/>
        </w:rPr>
        <w:t xml:space="preserve"> regulators and lawyers </w:t>
      </w:r>
      <w:r w:rsidR="00EA7DB7">
        <w:rPr>
          <w:lang w:val="en-US"/>
        </w:rPr>
        <w:t xml:space="preserve">expect </w:t>
      </w:r>
      <w:r w:rsidRPr="000D2E99">
        <w:rPr>
          <w:lang w:val="en-US"/>
        </w:rPr>
        <w:t xml:space="preserve">gene and genome synthesis </w:t>
      </w:r>
      <w:r w:rsidR="00EA7DB7">
        <w:rPr>
          <w:lang w:val="en-US"/>
        </w:rPr>
        <w:t>to relate</w:t>
      </w:r>
      <w:r w:rsidR="00134013">
        <w:rPr>
          <w:lang w:val="en-US"/>
        </w:rPr>
        <w:t xml:space="preserve"> </w:t>
      </w:r>
      <w:r w:rsidRPr="000D2E99">
        <w:rPr>
          <w:lang w:val="en-US"/>
        </w:rPr>
        <w:t xml:space="preserve">to the goals of the </w:t>
      </w:r>
      <w:r w:rsidR="00134013">
        <w:rPr>
          <w:lang w:val="en-US"/>
        </w:rPr>
        <w:t>Nagoya Protocol</w:t>
      </w:r>
      <w:r w:rsidRPr="000D2E99">
        <w:rPr>
          <w:lang w:val="en-US"/>
        </w:rPr>
        <w:t>?</w:t>
      </w:r>
    </w:p>
    <w:p w14:paraId="6084E252" w14:textId="77777777" w:rsidR="000D2E99" w:rsidRPr="000D2E99" w:rsidRDefault="000D2E99" w:rsidP="000D2E99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</w:p>
    <w:p w14:paraId="64EB445F" w14:textId="77777777" w:rsidR="000D2E99" w:rsidRPr="000D2E99" w:rsidRDefault="000D2E99" w:rsidP="000D2E99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  <w:r w:rsidRPr="000D2E99">
        <w:rPr>
          <w:i/>
          <w:iCs/>
          <w:u w:val="single"/>
          <w:lang w:val="en-US"/>
        </w:rPr>
        <w:t>Historical</w:t>
      </w:r>
    </w:p>
    <w:p w14:paraId="30AACF86" w14:textId="77777777" w:rsidR="000D2E99" w:rsidRPr="000D2E99" w:rsidRDefault="000D2E99" w:rsidP="000D2E99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  <w:r w:rsidRPr="000D2E99">
        <w:rPr>
          <w:lang w:val="en-US"/>
        </w:rPr>
        <w:t>How have international biomaterial collecting, sharing, and use practices developed over the course of the 20th and 21st centuries?</w:t>
      </w:r>
    </w:p>
    <w:p w14:paraId="23E80772" w14:textId="1A9EA471" w:rsidR="000D2E99" w:rsidRPr="000D2E99" w:rsidRDefault="000D2E99" w:rsidP="000D2E99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  <w:r w:rsidRPr="000D2E99">
        <w:rPr>
          <w:lang w:val="en-US"/>
        </w:rPr>
        <w:t>In what ways have these changes related to broader political and economic considerations?</w:t>
      </w:r>
    </w:p>
    <w:p w14:paraId="177269FF" w14:textId="77777777" w:rsidR="000D2E99" w:rsidRPr="000D2E99" w:rsidRDefault="000D2E99" w:rsidP="000D2E99">
      <w:pPr>
        <w:widowControl w:val="0"/>
        <w:autoSpaceDE w:val="0"/>
        <w:autoSpaceDN w:val="0"/>
        <w:adjustRightInd w:val="0"/>
        <w:spacing w:line="240" w:lineRule="auto"/>
        <w:rPr>
          <w:lang w:val="en-US"/>
        </w:rPr>
      </w:pPr>
      <w:r w:rsidRPr="000D2E99">
        <w:rPr>
          <w:lang w:val="en-US"/>
        </w:rPr>
        <w:t>How significant, or insignificant, are the possibilities of gene and genome synthesis within the course of this history?</w:t>
      </w:r>
    </w:p>
    <w:p w14:paraId="1C7C9FBF" w14:textId="77777777" w:rsidR="000D2E99" w:rsidRDefault="000D2E99">
      <w:pPr>
        <w:pStyle w:val="Normal1"/>
        <w:rPr>
          <w:b/>
          <w:u w:val="single"/>
        </w:rPr>
      </w:pPr>
    </w:p>
    <w:p w14:paraId="41AF4D53" w14:textId="77777777" w:rsidR="006F0264" w:rsidRDefault="006F0264">
      <w:pPr>
        <w:pStyle w:val="Normal1"/>
        <w:rPr>
          <w:b/>
          <w:u w:val="single"/>
        </w:rPr>
      </w:pPr>
    </w:p>
    <w:p w14:paraId="12A36365" w14:textId="77777777" w:rsidR="009D57FA" w:rsidRDefault="009D57FA">
      <w:pPr>
        <w:rPr>
          <w:b/>
          <w:u w:val="single"/>
        </w:rPr>
      </w:pPr>
      <w:r>
        <w:rPr>
          <w:b/>
          <w:u w:val="single"/>
        </w:rPr>
        <w:br w:type="page"/>
      </w:r>
    </w:p>
    <w:p w14:paraId="04A2E114" w14:textId="5106F2F4" w:rsidR="00E35112" w:rsidRDefault="006C5FBB">
      <w:pPr>
        <w:pStyle w:val="Normal1"/>
      </w:pPr>
      <w:r>
        <w:rPr>
          <w:b/>
          <w:u w:val="single"/>
        </w:rPr>
        <w:t>Panels:</w:t>
      </w:r>
      <w:r>
        <w:rPr>
          <w:b/>
        </w:rPr>
        <w:t xml:space="preserve"> Collection, management, and use of biological resources</w:t>
      </w:r>
    </w:p>
    <w:p w14:paraId="77A16BD8" w14:textId="77777777" w:rsidR="00E35112" w:rsidRDefault="00E35112">
      <w:pPr>
        <w:pStyle w:val="Normal1"/>
      </w:pPr>
    </w:p>
    <w:tbl>
      <w:tblPr>
        <w:tblStyle w:val="a"/>
        <w:tblW w:w="903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227"/>
        <w:gridCol w:w="1984"/>
        <w:gridCol w:w="1985"/>
        <w:gridCol w:w="2835"/>
      </w:tblGrid>
      <w:tr w:rsidR="00E35112" w14:paraId="21890CE4" w14:textId="77777777" w:rsidTr="000D2E99">
        <w:trPr>
          <w:trHeight w:val="420"/>
        </w:trPr>
        <w:tc>
          <w:tcPr>
            <w:tcW w:w="903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B3246D" w14:textId="77777777" w:rsidR="00E35112" w:rsidRDefault="006C5FB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</w:rPr>
              <w:t>Genetic resources before and after Nagoya</w:t>
            </w:r>
          </w:p>
        </w:tc>
      </w:tr>
      <w:tr w:rsidR="000D2E99" w14:paraId="3F332DBD" w14:textId="77777777" w:rsidTr="000D2E99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04F83" w14:textId="77777777" w:rsidR="000D2E99" w:rsidRDefault="000D2E99">
            <w:pPr>
              <w:pStyle w:val="Normal1"/>
              <w:widowControl w:val="0"/>
              <w:spacing w:line="240" w:lineRule="auto"/>
            </w:pPr>
            <w:r>
              <w:t>China Williams (Kew)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B70F68" w14:textId="77777777" w:rsidR="000D2E99" w:rsidRDefault="000D2E99">
            <w:pPr>
              <w:pStyle w:val="Normal1"/>
              <w:widowControl w:val="0"/>
              <w:spacing w:line="240" w:lineRule="auto"/>
            </w:pPr>
            <w:r>
              <w:t>Catherine Rhodes (Centre for existential risk)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D6F92D" w14:textId="423FF4C3" w:rsidR="000D2E99" w:rsidRDefault="009C18FE">
            <w:pPr>
              <w:pStyle w:val="Normal1"/>
              <w:widowControl w:val="0"/>
              <w:spacing w:line="240" w:lineRule="auto"/>
            </w:pPr>
            <w:r w:rsidRPr="009C18FE">
              <w:t>Julian Jackson (DEFRA) (or Kate Beckett – BIS)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75FCE" w14:textId="2128CA9F" w:rsidR="000D2E99" w:rsidRDefault="000D2E99">
            <w:pPr>
              <w:pStyle w:val="Normal1"/>
              <w:widowControl w:val="0"/>
              <w:spacing w:line="240" w:lineRule="auto"/>
            </w:pPr>
            <w:r>
              <w:t xml:space="preserve">Elisa </w:t>
            </w:r>
            <w:proofErr w:type="spellStart"/>
            <w:r>
              <w:t>Morgera</w:t>
            </w:r>
            <w:proofErr w:type="spellEnd"/>
            <w:r>
              <w:t xml:space="preserve"> (</w:t>
            </w:r>
            <w:proofErr w:type="spellStart"/>
            <w:r>
              <w:t>Uni</w:t>
            </w:r>
            <w:proofErr w:type="spellEnd"/>
            <w:r>
              <w:t xml:space="preserve"> of </w:t>
            </w:r>
            <w:r>
              <w:t xml:space="preserve">Edinburgh </w:t>
            </w:r>
            <w:r w:rsidR="007169A4">
              <w:t>–</w:t>
            </w:r>
            <w:r>
              <w:t xml:space="preserve"> BENELEX</w:t>
            </w:r>
            <w:r w:rsidR="007169A4">
              <w:t xml:space="preserve"> project on benefit-sharing</w:t>
            </w:r>
            <w:r>
              <w:t>).</w:t>
            </w:r>
          </w:p>
        </w:tc>
      </w:tr>
      <w:tr w:rsidR="00E35112" w14:paraId="1007310C" w14:textId="77777777" w:rsidTr="000D2E99">
        <w:trPr>
          <w:trHeight w:val="420"/>
        </w:trPr>
        <w:tc>
          <w:tcPr>
            <w:tcW w:w="903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6E8593" w14:textId="77777777" w:rsidR="00E35112" w:rsidRDefault="006C5FB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</w:rPr>
              <w:t>Synthesis</w:t>
            </w:r>
          </w:p>
        </w:tc>
      </w:tr>
      <w:tr w:rsidR="000D2E99" w14:paraId="698F9E08" w14:textId="77777777" w:rsidTr="000D2E99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F14843" w14:textId="446BA1B8" w:rsidR="000D2E99" w:rsidRDefault="000D2E99">
            <w:pPr>
              <w:pStyle w:val="Normal1"/>
              <w:widowControl w:val="0"/>
              <w:spacing w:line="240" w:lineRule="auto"/>
            </w:pPr>
            <w:r>
              <w:lastRenderedPageBreak/>
              <w:t>Microbial collection group (maybe Belgian?)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E274E" w14:textId="77777777" w:rsidR="000D2E99" w:rsidRDefault="000D2E99">
            <w:pPr>
              <w:pStyle w:val="Normal1"/>
              <w:widowControl w:val="0"/>
              <w:spacing w:line="240" w:lineRule="auto"/>
            </w:pPr>
            <w:r>
              <w:t xml:space="preserve">Jim </w:t>
            </w:r>
            <w:proofErr w:type="spellStart"/>
            <w:r>
              <w:t>Haseloff</w:t>
            </w:r>
            <w:proofErr w:type="spellEnd"/>
            <w:r>
              <w:t xml:space="preserve"> (</w:t>
            </w:r>
            <w:proofErr w:type="spellStart"/>
            <w:r>
              <w:t>OpenPlant</w:t>
            </w:r>
            <w:proofErr w:type="spellEnd"/>
            <w:r>
              <w:t>/</w:t>
            </w:r>
            <w:proofErr w:type="spellStart"/>
            <w:r>
              <w:t>Uni</w:t>
            </w:r>
            <w:proofErr w:type="spellEnd"/>
            <w:r>
              <w:t xml:space="preserve"> of Cambridge)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20AF48" w14:textId="6E568A2F" w:rsidR="000D2E99" w:rsidRDefault="000D2E99">
            <w:pPr>
              <w:pStyle w:val="Normal1"/>
              <w:widowControl w:val="0"/>
              <w:spacing w:line="240" w:lineRule="auto"/>
            </w:pPr>
            <w:r>
              <w:t xml:space="preserve">Twist / </w:t>
            </w:r>
            <w:r w:rsidR="00134013">
              <w:t xml:space="preserve">another </w:t>
            </w:r>
            <w:r>
              <w:t>commercial synthesis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F13BCA" w14:textId="7E762E64" w:rsidR="000D2E99" w:rsidRDefault="000D2E99">
            <w:pPr>
              <w:pStyle w:val="Normal1"/>
              <w:widowControl w:val="0"/>
              <w:spacing w:line="240" w:lineRule="auto"/>
            </w:pPr>
            <w:r>
              <w:t xml:space="preserve">UK </w:t>
            </w:r>
            <w:proofErr w:type="spellStart"/>
            <w:r>
              <w:t>synbio</w:t>
            </w:r>
            <w:proofErr w:type="spellEnd"/>
            <w:r>
              <w:t xml:space="preserve"> </w:t>
            </w:r>
            <w:r w:rsidR="009C18FE">
              <w:t>foundry</w:t>
            </w:r>
            <w:r>
              <w:t xml:space="preserve"> representative</w:t>
            </w:r>
          </w:p>
        </w:tc>
      </w:tr>
      <w:tr w:rsidR="00E35112" w14:paraId="511B938F" w14:textId="77777777" w:rsidTr="000D2E99">
        <w:trPr>
          <w:trHeight w:val="420"/>
        </w:trPr>
        <w:tc>
          <w:tcPr>
            <w:tcW w:w="9031" w:type="dxa"/>
            <w:gridSpan w:val="4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AE7717" w14:textId="77777777" w:rsidR="00E35112" w:rsidRDefault="006C5FBB">
            <w:pPr>
              <w:pStyle w:val="Normal1"/>
              <w:widowControl w:val="0"/>
              <w:spacing w:line="240" w:lineRule="auto"/>
              <w:jc w:val="center"/>
            </w:pPr>
            <w:r>
              <w:rPr>
                <w:b/>
              </w:rPr>
              <w:t>Continuity and change</w:t>
            </w:r>
          </w:p>
        </w:tc>
      </w:tr>
      <w:tr w:rsidR="000D2E99" w14:paraId="5EB5B59D" w14:textId="77777777" w:rsidTr="000D2E99">
        <w:tc>
          <w:tcPr>
            <w:tcW w:w="2227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8A580" w14:textId="77777777" w:rsidR="000D2E99" w:rsidRDefault="000D2E99">
            <w:pPr>
              <w:pStyle w:val="Normal1"/>
              <w:widowControl w:val="0"/>
              <w:spacing w:line="240" w:lineRule="auto"/>
            </w:pPr>
            <w:r>
              <w:t>Anne Teller (DG Environment of EC)</w:t>
            </w:r>
          </w:p>
        </w:tc>
        <w:tc>
          <w:tcPr>
            <w:tcW w:w="1984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F1DD17" w14:textId="2AF2832C" w:rsidR="000D2E99" w:rsidRDefault="009C18FE">
            <w:pPr>
              <w:pStyle w:val="Normal1"/>
              <w:widowControl w:val="0"/>
              <w:spacing w:line="240" w:lineRule="auto"/>
            </w:pPr>
            <w:r w:rsidRPr="009C18FE">
              <w:t>Paul Oldham (has worked on UN)</w:t>
            </w:r>
          </w:p>
        </w:tc>
        <w:tc>
          <w:tcPr>
            <w:tcW w:w="198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BBA108" w14:textId="0DBF1377" w:rsidR="000D2E99" w:rsidRDefault="00134013">
            <w:pPr>
              <w:pStyle w:val="Normal1"/>
              <w:widowControl w:val="0"/>
              <w:spacing w:line="240" w:lineRule="auto"/>
            </w:pPr>
            <w:r>
              <w:t xml:space="preserve">Francois </w:t>
            </w:r>
            <w:proofErr w:type="spellStart"/>
            <w:r>
              <w:t>Meienberg</w:t>
            </w:r>
            <w:proofErr w:type="spellEnd"/>
            <w:r>
              <w:t xml:space="preserve"> (Berne Declaration)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1D9C67" w14:textId="687F00D8" w:rsidR="000D2E99" w:rsidRDefault="000D2E99" w:rsidP="000D2E99">
            <w:pPr>
              <w:pStyle w:val="Normal1"/>
              <w:widowControl w:val="0"/>
              <w:spacing w:line="240" w:lineRule="auto"/>
            </w:pPr>
            <w:proofErr w:type="spellStart"/>
            <w:r>
              <w:t>Fridtjof</w:t>
            </w:r>
            <w:proofErr w:type="spellEnd"/>
            <w:r>
              <w:t xml:space="preserve"> Nansen Institute representative </w:t>
            </w:r>
          </w:p>
        </w:tc>
      </w:tr>
    </w:tbl>
    <w:p w14:paraId="7C0526F7" w14:textId="77777777" w:rsidR="00E35112" w:rsidRDefault="00E35112">
      <w:pPr>
        <w:pStyle w:val="Normal1"/>
      </w:pPr>
    </w:p>
    <w:p w14:paraId="6CB4D740" w14:textId="77777777" w:rsidR="00E35112" w:rsidRDefault="006C5FBB">
      <w:pPr>
        <w:pStyle w:val="Normal1"/>
      </w:pPr>
      <w:r>
        <w:t>Direct notifications of the event to:</w:t>
      </w:r>
    </w:p>
    <w:p w14:paraId="70B2A676" w14:textId="6E58AD6F" w:rsidR="00E35112" w:rsidRDefault="006C5FBB">
      <w:pPr>
        <w:pStyle w:val="Normal1"/>
        <w:numPr>
          <w:ilvl w:val="0"/>
          <w:numId w:val="1"/>
        </w:numPr>
        <w:ind w:hanging="360"/>
        <w:contextualSpacing/>
      </w:pPr>
      <w:r>
        <w:t xml:space="preserve">Representatives of all UK foundries (London </w:t>
      </w:r>
      <w:proofErr w:type="spellStart"/>
      <w:r>
        <w:t>synbio</w:t>
      </w:r>
      <w:proofErr w:type="spellEnd"/>
      <w:r>
        <w:t xml:space="preserve"> Foundry; Liverpool </w:t>
      </w:r>
      <w:proofErr w:type="spellStart"/>
      <w:r>
        <w:t>GeneMill</w:t>
      </w:r>
      <w:proofErr w:type="spellEnd"/>
      <w:r>
        <w:t>; Edinburgh Genome Foundry</w:t>
      </w:r>
      <w:r w:rsidR="006861CF">
        <w:t xml:space="preserve">: TGAC </w:t>
      </w:r>
      <w:proofErr w:type="spellStart"/>
      <w:r w:rsidR="006861CF">
        <w:t>foudary</w:t>
      </w:r>
      <w:proofErr w:type="spellEnd"/>
      <w:r w:rsidR="006861CF">
        <w:t xml:space="preserve"> in Norwich</w:t>
      </w:r>
      <w:r>
        <w:t>).</w:t>
      </w:r>
    </w:p>
    <w:p w14:paraId="10A8F295" w14:textId="7F420FEF" w:rsidR="00E35112" w:rsidRDefault="006C5FBB" w:rsidP="009C18FE">
      <w:pPr>
        <w:pStyle w:val="Normal1"/>
        <w:numPr>
          <w:ilvl w:val="0"/>
          <w:numId w:val="1"/>
        </w:numPr>
        <w:ind w:hanging="360"/>
        <w:contextualSpacing/>
      </w:pPr>
      <w:r>
        <w:t>All Party Parliamentary Groups (Agriculture and food for development; Biodiversity: Life Sciences</w:t>
      </w:r>
      <w:r w:rsidR="009C18FE">
        <w:t>); Intellectual Property Office; UK delegates to CBD, WIPO, etc.</w:t>
      </w:r>
    </w:p>
    <w:p w14:paraId="75432433" w14:textId="7754FD07" w:rsidR="00E35112" w:rsidRDefault="006C5FBB" w:rsidP="00796E05">
      <w:pPr>
        <w:pStyle w:val="Normal1"/>
        <w:numPr>
          <w:ilvl w:val="0"/>
          <w:numId w:val="1"/>
        </w:numPr>
        <w:ind w:hanging="360"/>
        <w:contextualSpacing/>
      </w:pPr>
      <w:r>
        <w:t>Civil society groups (</w:t>
      </w:r>
      <w:proofErr w:type="spellStart"/>
      <w:r>
        <w:t>Testbiotech</w:t>
      </w:r>
      <w:proofErr w:type="spellEnd"/>
      <w:r>
        <w:t>; ETC</w:t>
      </w:r>
      <w:r w:rsidR="009C18FE">
        <w:t xml:space="preserve"> Group</w:t>
      </w:r>
      <w:r w:rsidR="00134013">
        <w:t xml:space="preserve">; </w:t>
      </w:r>
      <w:proofErr w:type="spellStart"/>
      <w:r w:rsidR="00134013">
        <w:t>EcoNexus</w:t>
      </w:r>
      <w:proofErr w:type="spellEnd"/>
      <w:r w:rsidR="00134013">
        <w:t>; conservation groups</w:t>
      </w:r>
      <w:r>
        <w:t>)</w:t>
      </w:r>
      <w:r w:rsidR="00C4120E">
        <w:t xml:space="preserve"> </w:t>
      </w:r>
    </w:p>
    <w:p w14:paraId="138A6DA2" w14:textId="409C8996" w:rsidR="009C18FE" w:rsidRDefault="009C18FE" w:rsidP="00796E05">
      <w:pPr>
        <w:pStyle w:val="Normal1"/>
        <w:numPr>
          <w:ilvl w:val="0"/>
          <w:numId w:val="1"/>
        </w:numPr>
        <w:ind w:hanging="360"/>
        <w:contextualSpacing/>
      </w:pPr>
      <w:r>
        <w:t xml:space="preserve">Academic researchers (Society of Biology, Royal Geographical Society, </w:t>
      </w:r>
      <w:proofErr w:type="spellStart"/>
      <w:r>
        <w:t>AsISST</w:t>
      </w:r>
      <w:proofErr w:type="spellEnd"/>
      <w:r>
        <w:t xml:space="preserve"> UK).</w:t>
      </w:r>
    </w:p>
    <w:p w14:paraId="68CB5113" w14:textId="77777777" w:rsidR="00835A00" w:rsidRDefault="00835A00" w:rsidP="00835A00">
      <w:pPr>
        <w:pStyle w:val="Normal1"/>
        <w:contextualSpacing/>
      </w:pPr>
    </w:p>
    <w:p w14:paraId="5AF22C2E" w14:textId="1795B83B" w:rsidR="00835A00" w:rsidRDefault="00835A00" w:rsidP="00835A00">
      <w:pPr>
        <w:pStyle w:val="Normal1"/>
        <w:contextualSpacing/>
      </w:pPr>
      <w:r>
        <w:rPr>
          <w:b/>
          <w:u w:val="single"/>
        </w:rPr>
        <w:t>Outputs</w:t>
      </w:r>
    </w:p>
    <w:p w14:paraId="65C968E7" w14:textId="3CB3BC5F" w:rsidR="00835A00" w:rsidRDefault="00835A00" w:rsidP="00835A00">
      <w:pPr>
        <w:pStyle w:val="Normal1"/>
        <w:contextualSpacing/>
      </w:pPr>
      <w:r>
        <w:t xml:space="preserve">Deborah Scott and Dominic Berry will lead authorship on a report to follow the event, with co-authors from </w:t>
      </w:r>
      <w:proofErr w:type="spellStart"/>
      <w:r>
        <w:t>OpenPlant</w:t>
      </w:r>
      <w:proofErr w:type="spellEnd"/>
      <w:r>
        <w:t xml:space="preserve"> should they wish. It will summarise the discussion for a wide audience</w:t>
      </w:r>
      <w:r w:rsidR="007169A4">
        <w:t>, following Chatham House rules</w:t>
      </w:r>
      <w:r>
        <w:t>.</w:t>
      </w:r>
      <w:r w:rsidR="00FE4DA8">
        <w:t xml:space="preserve"> </w:t>
      </w:r>
    </w:p>
    <w:p w14:paraId="564E6BCA" w14:textId="77777777" w:rsidR="007169A4" w:rsidRDefault="007169A4" w:rsidP="00835A00">
      <w:pPr>
        <w:pStyle w:val="Normal1"/>
        <w:contextualSpacing/>
      </w:pPr>
    </w:p>
    <w:p w14:paraId="1E75FB97" w14:textId="0948542A" w:rsidR="007169A4" w:rsidRPr="00835A00" w:rsidRDefault="007169A4" w:rsidP="00BE2FBB">
      <w:pPr>
        <w:pStyle w:val="Normal1"/>
        <w:contextualSpacing/>
      </w:pPr>
      <w:r>
        <w:t xml:space="preserve">This workshop is not designed with the </w:t>
      </w:r>
      <w:r w:rsidR="00BE2FBB">
        <w:t>goal</w:t>
      </w:r>
      <w:r>
        <w:t xml:space="preserve"> of feeding into policy processes. </w:t>
      </w:r>
      <w:r w:rsidR="00BE2FBB">
        <w:t>That said, the question of “digital DNA” under the Nagoya Protocol was recently flagged as a contentious point for negotiation at the upcoming CBD COP 13 negotiations (4-17 December 2016, in Cancun, Mexico). Deborah Scott is planning to attend these meetings</w:t>
      </w:r>
      <w:r w:rsidR="003818AE">
        <w:t xml:space="preserve">, which raises </w:t>
      </w:r>
      <w:r w:rsidR="00F76E06">
        <w:t xml:space="preserve">a few </w:t>
      </w:r>
      <w:r w:rsidR="003818AE">
        <w:t>possibilities</w:t>
      </w:r>
      <w:r w:rsidR="00F76E06">
        <w:t xml:space="preserve">. She could take reports for </w:t>
      </w:r>
      <w:r w:rsidR="00763074">
        <w:t>dispersal</w:t>
      </w:r>
      <w:r w:rsidR="00F76E06">
        <w:t xml:space="preserve"> (</w:t>
      </w:r>
      <w:r w:rsidR="00763074">
        <w:t>this is very common at COPs)</w:t>
      </w:r>
      <w:r w:rsidR="00F76E06">
        <w:t xml:space="preserve">, if we determine </w:t>
      </w:r>
      <w:r w:rsidR="00763074">
        <w:t>that an excerpt or the whole workshop report could be of interest to negotiators.  She could also look into co-organizing a side event</w:t>
      </w:r>
      <w:r w:rsidR="0003026C">
        <w:t xml:space="preserve"> at the upcoming COP</w:t>
      </w:r>
      <w:r w:rsidR="00763074">
        <w:t xml:space="preserve"> on this issue with other </w:t>
      </w:r>
      <w:r w:rsidR="009D57FA">
        <w:t>interested organizations</w:t>
      </w:r>
      <w:r w:rsidR="00F01556">
        <w:t xml:space="preserve"> (such as the </w:t>
      </w:r>
      <w:r w:rsidR="00DF087E">
        <w:t>Wo</w:t>
      </w:r>
      <w:r w:rsidR="00510A00">
        <w:t xml:space="preserve">odrow Wilson International </w:t>
      </w:r>
      <w:proofErr w:type="spellStart"/>
      <w:r w:rsidR="00510A00">
        <w:t>Cent</w:t>
      </w:r>
      <w:r w:rsidR="00DF087E">
        <w:t>e</w:t>
      </w:r>
      <w:r w:rsidR="00510A00">
        <w:t>r</w:t>
      </w:r>
      <w:proofErr w:type="spellEnd"/>
      <w:r w:rsidR="00DF087E">
        <w:t xml:space="preserve"> for Scholars</w:t>
      </w:r>
      <w:r w:rsidR="00F01556">
        <w:t>)</w:t>
      </w:r>
      <w:r w:rsidR="00763074">
        <w:t xml:space="preserve">. </w:t>
      </w:r>
      <w:bookmarkStart w:id="0" w:name="_GoBack"/>
      <w:bookmarkEnd w:id="0"/>
    </w:p>
    <w:sectPr w:rsidR="007169A4" w:rsidRPr="00835A00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Lucida Console"/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92351D"/>
    <w:multiLevelType w:val="multilevel"/>
    <w:tmpl w:val="9ED861BC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 w15:restartNumberingAfterBreak="0">
    <w:nsid w:val="4B3B523D"/>
    <w:multiLevelType w:val="multilevel"/>
    <w:tmpl w:val="68DE9506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8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112"/>
    <w:rsid w:val="0003026C"/>
    <w:rsid w:val="00040DB8"/>
    <w:rsid w:val="000540FD"/>
    <w:rsid w:val="000564FE"/>
    <w:rsid w:val="00080E34"/>
    <w:rsid w:val="000A049F"/>
    <w:rsid w:val="000D2E99"/>
    <w:rsid w:val="000D6CB9"/>
    <w:rsid w:val="00122E9F"/>
    <w:rsid w:val="00134013"/>
    <w:rsid w:val="00183B7C"/>
    <w:rsid w:val="00187AA4"/>
    <w:rsid w:val="001B58E4"/>
    <w:rsid w:val="001F7B7A"/>
    <w:rsid w:val="00217103"/>
    <w:rsid w:val="0023465C"/>
    <w:rsid w:val="00267674"/>
    <w:rsid w:val="002931BF"/>
    <w:rsid w:val="00351B32"/>
    <w:rsid w:val="003818AE"/>
    <w:rsid w:val="003C61F4"/>
    <w:rsid w:val="003E1566"/>
    <w:rsid w:val="003E5440"/>
    <w:rsid w:val="003E62E9"/>
    <w:rsid w:val="004157E4"/>
    <w:rsid w:val="00424B67"/>
    <w:rsid w:val="00451AA6"/>
    <w:rsid w:val="004900E7"/>
    <w:rsid w:val="004C4972"/>
    <w:rsid w:val="004E1ECB"/>
    <w:rsid w:val="004F45CB"/>
    <w:rsid w:val="00510A00"/>
    <w:rsid w:val="005E03EF"/>
    <w:rsid w:val="006522C1"/>
    <w:rsid w:val="00674530"/>
    <w:rsid w:val="00686103"/>
    <w:rsid w:val="006861CF"/>
    <w:rsid w:val="006C5FBB"/>
    <w:rsid w:val="006F0264"/>
    <w:rsid w:val="006F7F6F"/>
    <w:rsid w:val="007169A4"/>
    <w:rsid w:val="007345AD"/>
    <w:rsid w:val="00740C6F"/>
    <w:rsid w:val="00763074"/>
    <w:rsid w:val="00796E05"/>
    <w:rsid w:val="007B3F95"/>
    <w:rsid w:val="007E3F42"/>
    <w:rsid w:val="007F398C"/>
    <w:rsid w:val="00813A5E"/>
    <w:rsid w:val="00835A00"/>
    <w:rsid w:val="00893F6A"/>
    <w:rsid w:val="009002A1"/>
    <w:rsid w:val="00942CBE"/>
    <w:rsid w:val="00971416"/>
    <w:rsid w:val="00985B03"/>
    <w:rsid w:val="009C0A6C"/>
    <w:rsid w:val="009C18FE"/>
    <w:rsid w:val="009D26ED"/>
    <w:rsid w:val="009D57FA"/>
    <w:rsid w:val="00A56B0E"/>
    <w:rsid w:val="00A829DC"/>
    <w:rsid w:val="00AA7B9F"/>
    <w:rsid w:val="00AB0A62"/>
    <w:rsid w:val="00AD2B27"/>
    <w:rsid w:val="00AF0619"/>
    <w:rsid w:val="00B4558C"/>
    <w:rsid w:val="00B80F6E"/>
    <w:rsid w:val="00B9644B"/>
    <w:rsid w:val="00BE2FBB"/>
    <w:rsid w:val="00C34CCD"/>
    <w:rsid w:val="00C4120E"/>
    <w:rsid w:val="00C57F76"/>
    <w:rsid w:val="00C90CA5"/>
    <w:rsid w:val="00CC089C"/>
    <w:rsid w:val="00CF26D5"/>
    <w:rsid w:val="00D01E13"/>
    <w:rsid w:val="00D07744"/>
    <w:rsid w:val="00D3518F"/>
    <w:rsid w:val="00D733D3"/>
    <w:rsid w:val="00D8502F"/>
    <w:rsid w:val="00D95EE5"/>
    <w:rsid w:val="00D96175"/>
    <w:rsid w:val="00DF087E"/>
    <w:rsid w:val="00E35112"/>
    <w:rsid w:val="00E822F6"/>
    <w:rsid w:val="00EA7DB7"/>
    <w:rsid w:val="00EB7848"/>
    <w:rsid w:val="00EC213C"/>
    <w:rsid w:val="00EE253F"/>
    <w:rsid w:val="00F01556"/>
    <w:rsid w:val="00F72298"/>
    <w:rsid w:val="00F76E06"/>
    <w:rsid w:val="00FA1E5B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273C270"/>
  <w15:docId w15:val="{5A7015C1-F9AA-41F0-8590-E5F9B2B2C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1"/>
    <w:next w:val="Normal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1"/>
    <w:next w:val="Normal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1"/>
    <w:next w:val="Normal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5FBB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5FB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0540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40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40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40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40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87AA4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B1B90C-7570-4736-8C83-7B6A0CD26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1222</Words>
  <Characters>6972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Edinburgh</Company>
  <LinksUpToDate>false</LinksUpToDate>
  <CharactersWithSpaces>8178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CALVERT Jane</dc:creator>
  <cp:lastModifiedBy>BERRY Dominic</cp:lastModifiedBy>
  <cp:revision>14</cp:revision>
  <cp:lastPrinted>2016-05-09T13:57:00Z</cp:lastPrinted>
  <dcterms:created xsi:type="dcterms:W3CDTF">2016-05-23T09:42:00Z</dcterms:created>
  <dcterms:modified xsi:type="dcterms:W3CDTF">2016-05-23T14:36:00Z</dcterms:modified>
</cp:coreProperties>
</file>