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2E" w:rsidRPr="0050462E" w:rsidRDefault="0050462E" w:rsidP="0050462E">
      <w:pPr>
        <w:jc w:val="both"/>
        <w:rPr>
          <w:b/>
        </w:rPr>
      </w:pPr>
      <w:r w:rsidRPr="0050462E">
        <w:rPr>
          <w:b/>
        </w:rPr>
        <w:t>Biological Justification of Project</w:t>
      </w:r>
    </w:p>
    <w:p w:rsidR="0050462E" w:rsidRDefault="005E27B3" w:rsidP="0050462E">
      <w:pPr>
        <w:jc w:val="both"/>
      </w:pPr>
      <w:r>
        <w:t xml:space="preserve">In this </w:t>
      </w:r>
      <w:proofErr w:type="spellStart"/>
      <w:r>
        <w:t>OpenPlant</w:t>
      </w:r>
      <w:proofErr w:type="spellEnd"/>
      <w:r>
        <w:t xml:space="preserve"> Project, we aim to answer the question of when, where and how receptor-like kinases regulate the symbiosis signalling at the early and late stages of the plant-fungi interaction. </w:t>
      </w:r>
    </w:p>
    <w:p w:rsidR="00555466" w:rsidRDefault="005E27B3" w:rsidP="0050462E">
      <w:pPr>
        <w:jc w:val="both"/>
      </w:pPr>
      <w:r>
        <w:t xml:space="preserve">To do this, we proposed the use of DNA synthesis for interchangeable kinase modules and </w:t>
      </w:r>
      <w:r w:rsidR="00555466">
        <w:t>parts for Golden Gate cloning. Upon g</w:t>
      </w:r>
      <w:r>
        <w:t>enerating these resources (e.g. p</w:t>
      </w:r>
      <w:r w:rsidR="00555466">
        <w:t>romoter units), we aimed to create constructs for transformation into stable transgenic lines for the following:</w:t>
      </w:r>
    </w:p>
    <w:p w:rsidR="005E27B3" w:rsidRDefault="00555466" w:rsidP="0050462E">
      <w:pPr>
        <w:pStyle w:val="ListParagraph"/>
        <w:numPr>
          <w:ilvl w:val="0"/>
          <w:numId w:val="3"/>
        </w:numPr>
        <w:jc w:val="both"/>
      </w:pPr>
      <w:r>
        <w:t>transcriptional reporters to understand the tissues where promoter activity is present, and how that changes with stimuli</w:t>
      </w:r>
    </w:p>
    <w:p w:rsidR="00555466" w:rsidRDefault="00555466" w:rsidP="0050462E">
      <w:pPr>
        <w:pStyle w:val="ListParagraph"/>
        <w:numPr>
          <w:ilvl w:val="0"/>
          <w:numId w:val="3"/>
        </w:numPr>
        <w:jc w:val="both"/>
      </w:pPr>
      <w:r>
        <w:t>translational protein-fluorescent tag fusion to visualise protein localisation, and how they change with symbiosis</w:t>
      </w:r>
    </w:p>
    <w:p w:rsidR="00555466" w:rsidRDefault="00555466" w:rsidP="0050462E">
      <w:pPr>
        <w:pStyle w:val="ListParagraph"/>
        <w:numPr>
          <w:ilvl w:val="0"/>
          <w:numId w:val="3"/>
        </w:numPr>
        <w:jc w:val="both"/>
      </w:pPr>
      <w:r>
        <w:t>creation of kinase ‘parts’ as variants of original Level 0 SC modules so as to allow the generation of chimeric kinases with domain swaps</w:t>
      </w:r>
    </w:p>
    <w:p w:rsidR="00555466" w:rsidRDefault="00555466" w:rsidP="0050462E">
      <w:pPr>
        <w:jc w:val="both"/>
      </w:pPr>
      <w:r>
        <w:t xml:space="preserve">Overall, the goal was to create resources to advance our understanding of receptor-like kinases in signalling and generate resources for the plant research community. </w:t>
      </w:r>
    </w:p>
    <w:p w:rsidR="00555466" w:rsidRPr="0050462E" w:rsidRDefault="00601A03" w:rsidP="0050462E">
      <w:pPr>
        <w:jc w:val="both"/>
      </w:pPr>
      <w:r>
        <w:t xml:space="preserve">To this end, </w:t>
      </w:r>
      <w:r w:rsidRPr="0050462E">
        <w:rPr>
          <w:b/>
        </w:rPr>
        <w:t xml:space="preserve">objectives 1 and 2 </w:t>
      </w:r>
      <w:r>
        <w:t xml:space="preserve">have been met for the late-stage symbiosis receptor kinase, ARK1. </w:t>
      </w:r>
      <w:r w:rsidR="00555466">
        <w:t xml:space="preserve">However, because of the obstacles encountered with Golden Gate cloning with promoters of CERK1 and NFR5, we therefore decided to narrow our focus and efforts </w:t>
      </w:r>
      <w:r w:rsidR="00953514">
        <w:t>to generate</w:t>
      </w:r>
      <w:r w:rsidR="00555466">
        <w:t xml:space="preserve"> good resources of a narrower list of receptor-like kinases</w:t>
      </w:r>
      <w:r w:rsidR="00953514">
        <w:t>; rather</w:t>
      </w:r>
      <w:r w:rsidR="00555466">
        <w:t xml:space="preserve"> than to synthesize more Golden Gate modules that may encounter similar problems during cloning.</w:t>
      </w:r>
      <w:r>
        <w:t xml:space="preserve"> </w:t>
      </w:r>
      <w:r w:rsidR="0050462E">
        <w:t xml:space="preserve">Thus, </w:t>
      </w:r>
      <w:r w:rsidR="0050462E">
        <w:rPr>
          <w:b/>
        </w:rPr>
        <w:t xml:space="preserve">objective 2 </w:t>
      </w:r>
      <w:r w:rsidR="0050462E">
        <w:t>has been met for CERK1, NFR5 and in the process, CEBiP.</w:t>
      </w:r>
      <w:bookmarkStart w:id="0" w:name="_GoBack"/>
      <w:bookmarkEnd w:id="0"/>
    </w:p>
    <w:p w:rsidR="00EC7806" w:rsidRPr="0050462E" w:rsidRDefault="0050462E" w:rsidP="00EC7806">
      <w:pPr>
        <w:rPr>
          <w:b/>
        </w:rPr>
      </w:pPr>
      <w:r>
        <w:rPr>
          <w:b/>
        </w:rPr>
        <w:t xml:space="preserve">Detailed </w:t>
      </w:r>
      <w:r w:rsidR="00EC7806" w:rsidRPr="0050462E">
        <w:rPr>
          <w:b/>
        </w:rPr>
        <w:t>Overview of current expenditure: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EC7806" w:rsidTr="00601A03">
        <w:tc>
          <w:tcPr>
            <w:tcW w:w="1555" w:type="dxa"/>
            <w:shd w:val="clear" w:color="auto" w:fill="FFFF00"/>
          </w:tcPr>
          <w:p w:rsidR="00EC7806" w:rsidRPr="00601A03" w:rsidRDefault="00601A03" w:rsidP="00EC7806">
            <w:pPr>
              <w:rPr>
                <w:b/>
              </w:rPr>
            </w:pPr>
            <w:r w:rsidRPr="00601A03">
              <w:rPr>
                <w:b/>
              </w:rPr>
              <w:t>Category</w:t>
            </w:r>
          </w:p>
        </w:tc>
        <w:tc>
          <w:tcPr>
            <w:tcW w:w="4455" w:type="dxa"/>
            <w:shd w:val="clear" w:color="auto" w:fill="FFFF00"/>
          </w:tcPr>
          <w:p w:rsidR="00EC7806" w:rsidRPr="00601A03" w:rsidRDefault="005E27B3" w:rsidP="00EC7806">
            <w:pPr>
              <w:rPr>
                <w:b/>
              </w:rPr>
            </w:pPr>
            <w:r w:rsidRPr="00601A03">
              <w:rPr>
                <w:b/>
              </w:rPr>
              <w:t>Items</w:t>
            </w:r>
          </w:p>
        </w:tc>
        <w:tc>
          <w:tcPr>
            <w:tcW w:w="3006" w:type="dxa"/>
            <w:shd w:val="clear" w:color="auto" w:fill="FFFF00"/>
          </w:tcPr>
          <w:p w:rsidR="00EC7806" w:rsidRPr="00601A03" w:rsidRDefault="005E27B3" w:rsidP="00EC7806">
            <w:pPr>
              <w:rPr>
                <w:b/>
              </w:rPr>
            </w:pPr>
            <w:r w:rsidRPr="00601A03">
              <w:rPr>
                <w:b/>
              </w:rPr>
              <w:t>Cost</w:t>
            </w:r>
          </w:p>
        </w:tc>
      </w:tr>
      <w:tr w:rsidR="00601A03" w:rsidTr="00EC7806">
        <w:tc>
          <w:tcPr>
            <w:tcW w:w="1555" w:type="dxa"/>
            <w:vMerge w:val="restart"/>
          </w:tcPr>
          <w:p w:rsidR="00601A03" w:rsidRDefault="00601A03" w:rsidP="00EC7806">
            <w:r>
              <w:t>DNA synthesis</w:t>
            </w:r>
          </w:p>
        </w:tc>
        <w:tc>
          <w:tcPr>
            <w:tcW w:w="4455" w:type="dxa"/>
          </w:tcPr>
          <w:p w:rsidR="00601A03" w:rsidRDefault="00601A03" w:rsidP="00EC7806">
            <w:r>
              <w:t>L0 OsCERK1 promoter (2.5kb)</w:t>
            </w:r>
          </w:p>
          <w:p w:rsidR="00601A03" w:rsidRDefault="00601A03" w:rsidP="00EC7806">
            <w:r>
              <w:t>L0 OsNFR5 promoter (2kb)</w:t>
            </w:r>
          </w:p>
          <w:p w:rsidR="00601A03" w:rsidRDefault="00601A03" w:rsidP="00EC7806">
            <w:r>
              <w:t>L0 OsCERK1 CDS (1.9kb)</w:t>
            </w:r>
          </w:p>
          <w:p w:rsidR="00601A03" w:rsidRDefault="00601A03" w:rsidP="00EC7806">
            <w:r>
              <w:t>L0 OsNFR5 CDS (1.9kb)</w:t>
            </w:r>
          </w:p>
        </w:tc>
        <w:tc>
          <w:tcPr>
            <w:tcW w:w="3006" w:type="dxa"/>
          </w:tcPr>
          <w:p w:rsidR="00601A03" w:rsidRDefault="00601A03" w:rsidP="00EC7806">
            <w:r>
              <w:t>£250</w:t>
            </w:r>
          </w:p>
          <w:p w:rsidR="00601A03" w:rsidRDefault="00601A03" w:rsidP="00EC7806">
            <w:r>
              <w:t>£200</w:t>
            </w:r>
          </w:p>
          <w:p w:rsidR="00601A03" w:rsidRDefault="00601A03" w:rsidP="00EC7806">
            <w:r>
              <w:t>£200</w:t>
            </w:r>
          </w:p>
          <w:p w:rsidR="00601A03" w:rsidRDefault="00601A03" w:rsidP="00EC7806">
            <w:r>
              <w:t>£200</w:t>
            </w:r>
          </w:p>
        </w:tc>
      </w:tr>
      <w:tr w:rsidR="00601A03" w:rsidTr="00EC7806">
        <w:tc>
          <w:tcPr>
            <w:tcW w:w="1555" w:type="dxa"/>
            <w:vMerge/>
          </w:tcPr>
          <w:p w:rsidR="00601A03" w:rsidRDefault="00601A03" w:rsidP="00EC7806"/>
        </w:tc>
        <w:tc>
          <w:tcPr>
            <w:tcW w:w="4455" w:type="dxa"/>
          </w:tcPr>
          <w:p w:rsidR="00601A03" w:rsidRDefault="00601A03" w:rsidP="00EC7806">
            <w:r>
              <w:t>L0 OsARK1 CDS (3406bp)</w:t>
            </w:r>
          </w:p>
          <w:p w:rsidR="00601A03" w:rsidRDefault="00601A03" w:rsidP="00EC7806">
            <w:r>
              <w:t>L0 OsARK1 PU (1951bp)</w:t>
            </w:r>
          </w:p>
        </w:tc>
        <w:tc>
          <w:tcPr>
            <w:tcW w:w="3006" w:type="dxa"/>
          </w:tcPr>
          <w:p w:rsidR="00601A03" w:rsidRDefault="00601A03" w:rsidP="00EC7806">
            <w:r>
              <w:t>£300</w:t>
            </w:r>
          </w:p>
          <w:p w:rsidR="00601A03" w:rsidRDefault="00601A03" w:rsidP="00EC7806">
            <w:r>
              <w:t>£200</w:t>
            </w:r>
          </w:p>
        </w:tc>
      </w:tr>
      <w:tr w:rsidR="00601A03" w:rsidTr="00EC7806">
        <w:tc>
          <w:tcPr>
            <w:tcW w:w="1555" w:type="dxa"/>
            <w:vMerge/>
          </w:tcPr>
          <w:p w:rsidR="00601A03" w:rsidRDefault="00601A03" w:rsidP="00EC7806"/>
        </w:tc>
        <w:tc>
          <w:tcPr>
            <w:tcW w:w="4455" w:type="dxa"/>
          </w:tcPr>
          <w:p w:rsidR="00601A03" w:rsidRDefault="00953514" w:rsidP="00EC7806">
            <w:r>
              <w:t>pOsCERK1-OsCERK1-</w:t>
            </w:r>
            <w:r w:rsidR="00601A03">
              <w:t>GFP-tHSP (5598bp)</w:t>
            </w:r>
          </w:p>
          <w:p w:rsidR="00601A03" w:rsidRDefault="00601A03" w:rsidP="00953514">
            <w:r>
              <w:t>pOsNFR5-OsNFR5-RFP-tHSP (5143bp)</w:t>
            </w:r>
          </w:p>
        </w:tc>
        <w:tc>
          <w:tcPr>
            <w:tcW w:w="3006" w:type="dxa"/>
          </w:tcPr>
          <w:p w:rsidR="00601A03" w:rsidRDefault="00601A03" w:rsidP="00EC7806">
            <w:r>
              <w:t>£600</w:t>
            </w:r>
          </w:p>
          <w:p w:rsidR="00601A03" w:rsidRDefault="00601A03" w:rsidP="00EC7806">
            <w:r>
              <w:t>£520</w:t>
            </w:r>
          </w:p>
        </w:tc>
      </w:tr>
      <w:tr w:rsidR="00601A03" w:rsidTr="00EC7806">
        <w:tc>
          <w:tcPr>
            <w:tcW w:w="1555" w:type="dxa"/>
            <w:vMerge/>
          </w:tcPr>
          <w:p w:rsidR="00601A03" w:rsidRDefault="00601A03" w:rsidP="00EC7806"/>
        </w:tc>
        <w:tc>
          <w:tcPr>
            <w:tcW w:w="4455" w:type="dxa"/>
          </w:tcPr>
          <w:p w:rsidR="00601A03" w:rsidRDefault="00601A03" w:rsidP="00EC7806">
            <w:r>
              <w:t>Subtotal</w:t>
            </w:r>
          </w:p>
        </w:tc>
        <w:tc>
          <w:tcPr>
            <w:tcW w:w="3006" w:type="dxa"/>
          </w:tcPr>
          <w:p w:rsidR="00601A03" w:rsidRDefault="00601A03" w:rsidP="00953514">
            <w:pPr>
              <w:jc w:val="right"/>
            </w:pPr>
            <w:r>
              <w:t>£2,470</w:t>
            </w:r>
          </w:p>
        </w:tc>
      </w:tr>
      <w:tr w:rsidR="00601A03" w:rsidTr="00EC7806">
        <w:tc>
          <w:tcPr>
            <w:tcW w:w="1555" w:type="dxa"/>
            <w:vMerge w:val="restart"/>
          </w:tcPr>
          <w:p w:rsidR="00601A03" w:rsidRDefault="00601A03" w:rsidP="00EC7806">
            <w:r>
              <w:t>Sequencing &amp;</w:t>
            </w:r>
          </w:p>
          <w:p w:rsidR="00601A03" w:rsidRDefault="00601A03" w:rsidP="00EC7806">
            <w:r>
              <w:t>Consumables</w:t>
            </w:r>
          </w:p>
        </w:tc>
        <w:tc>
          <w:tcPr>
            <w:tcW w:w="4455" w:type="dxa"/>
          </w:tcPr>
          <w:p w:rsidR="00601A03" w:rsidRDefault="00601A03" w:rsidP="00EC7806">
            <w:proofErr w:type="spellStart"/>
            <w:r>
              <w:t>Genewiz</w:t>
            </w:r>
            <w:proofErr w:type="spellEnd"/>
            <w:r>
              <w:t xml:space="preserve"> Account Top-up</w:t>
            </w:r>
          </w:p>
        </w:tc>
        <w:tc>
          <w:tcPr>
            <w:tcW w:w="3006" w:type="dxa"/>
          </w:tcPr>
          <w:p w:rsidR="00601A03" w:rsidRDefault="00601A03" w:rsidP="00EC7806">
            <w:r>
              <w:t>£250</w:t>
            </w:r>
          </w:p>
        </w:tc>
      </w:tr>
      <w:tr w:rsidR="00601A03" w:rsidTr="00EC7806">
        <w:tc>
          <w:tcPr>
            <w:tcW w:w="1555" w:type="dxa"/>
            <w:vMerge/>
          </w:tcPr>
          <w:p w:rsidR="00601A03" w:rsidRDefault="00601A03" w:rsidP="00EC7806"/>
        </w:tc>
        <w:tc>
          <w:tcPr>
            <w:tcW w:w="4455" w:type="dxa"/>
          </w:tcPr>
          <w:p w:rsidR="00601A03" w:rsidRDefault="00601A03" w:rsidP="00EC7806">
            <w:r>
              <w:t xml:space="preserve">Gel Purification and Plasmid </w:t>
            </w:r>
            <w:proofErr w:type="spellStart"/>
            <w:r>
              <w:t>Cleanup</w:t>
            </w:r>
            <w:proofErr w:type="spellEnd"/>
            <w:r>
              <w:t xml:space="preserve"> during cloning</w:t>
            </w:r>
          </w:p>
        </w:tc>
        <w:tc>
          <w:tcPr>
            <w:tcW w:w="3006" w:type="dxa"/>
          </w:tcPr>
          <w:p w:rsidR="00601A03" w:rsidRDefault="00601A03" w:rsidP="00EC7806">
            <w:r>
              <w:t>£240</w:t>
            </w:r>
          </w:p>
        </w:tc>
      </w:tr>
      <w:tr w:rsidR="00601A03" w:rsidTr="00EC7806">
        <w:tc>
          <w:tcPr>
            <w:tcW w:w="1555" w:type="dxa"/>
            <w:vMerge/>
          </w:tcPr>
          <w:p w:rsidR="00601A03" w:rsidRDefault="00601A03" w:rsidP="00EC7806"/>
        </w:tc>
        <w:tc>
          <w:tcPr>
            <w:tcW w:w="4455" w:type="dxa"/>
          </w:tcPr>
          <w:p w:rsidR="00601A03" w:rsidRDefault="00601A03" w:rsidP="00EC7806">
            <w:r>
              <w:t>Type IIS Restriction Enzymes for Golden Gate cloning</w:t>
            </w:r>
          </w:p>
        </w:tc>
        <w:tc>
          <w:tcPr>
            <w:tcW w:w="3006" w:type="dxa"/>
          </w:tcPr>
          <w:p w:rsidR="00601A03" w:rsidRDefault="00601A03" w:rsidP="00EC7806">
            <w:r>
              <w:t>£250</w:t>
            </w:r>
          </w:p>
        </w:tc>
      </w:tr>
      <w:tr w:rsidR="00601A03" w:rsidTr="00EC7806">
        <w:tc>
          <w:tcPr>
            <w:tcW w:w="1555" w:type="dxa"/>
            <w:vMerge/>
          </w:tcPr>
          <w:p w:rsidR="00601A03" w:rsidRDefault="00601A03" w:rsidP="00EC7806"/>
        </w:tc>
        <w:tc>
          <w:tcPr>
            <w:tcW w:w="4455" w:type="dxa"/>
          </w:tcPr>
          <w:p w:rsidR="00601A03" w:rsidRDefault="00601A03" w:rsidP="00EC7806">
            <w:r>
              <w:t>Subtotal</w:t>
            </w:r>
          </w:p>
        </w:tc>
        <w:tc>
          <w:tcPr>
            <w:tcW w:w="3006" w:type="dxa"/>
          </w:tcPr>
          <w:p w:rsidR="00601A03" w:rsidRDefault="00601A03" w:rsidP="00953514">
            <w:pPr>
              <w:jc w:val="right"/>
            </w:pPr>
            <w:r>
              <w:t>£740</w:t>
            </w:r>
          </w:p>
        </w:tc>
      </w:tr>
      <w:tr w:rsidR="00601A03" w:rsidTr="00EC7806">
        <w:tc>
          <w:tcPr>
            <w:tcW w:w="1555" w:type="dxa"/>
          </w:tcPr>
          <w:p w:rsidR="00601A03" w:rsidRDefault="00601A03" w:rsidP="00601A03">
            <w:r>
              <w:t xml:space="preserve">DNA synthesis – in progress </w:t>
            </w:r>
          </w:p>
        </w:tc>
        <w:tc>
          <w:tcPr>
            <w:tcW w:w="4455" w:type="dxa"/>
          </w:tcPr>
          <w:p w:rsidR="00601A03" w:rsidRDefault="00601A03" w:rsidP="00EC7806">
            <w:proofErr w:type="spellStart"/>
            <w:r>
              <w:t>OsCEBiP</w:t>
            </w:r>
            <w:proofErr w:type="spellEnd"/>
            <w:r>
              <w:t xml:space="preserve"> units</w:t>
            </w:r>
          </w:p>
        </w:tc>
        <w:tc>
          <w:tcPr>
            <w:tcW w:w="3006" w:type="dxa"/>
          </w:tcPr>
          <w:p w:rsidR="00601A03" w:rsidRDefault="00601A03" w:rsidP="00953514">
            <w:pPr>
              <w:jc w:val="right"/>
            </w:pPr>
            <w:r>
              <w:t>£790</w:t>
            </w:r>
          </w:p>
        </w:tc>
      </w:tr>
      <w:tr w:rsidR="0050462E" w:rsidTr="0050462E">
        <w:tc>
          <w:tcPr>
            <w:tcW w:w="6010" w:type="dxa"/>
            <w:gridSpan w:val="2"/>
            <w:shd w:val="clear" w:color="auto" w:fill="FFC000"/>
          </w:tcPr>
          <w:p w:rsidR="0050462E" w:rsidRDefault="0050462E" w:rsidP="00EC7806">
            <w:r>
              <w:t>Total</w:t>
            </w:r>
          </w:p>
        </w:tc>
        <w:tc>
          <w:tcPr>
            <w:tcW w:w="3006" w:type="dxa"/>
          </w:tcPr>
          <w:p w:rsidR="0050462E" w:rsidRDefault="0050462E" w:rsidP="00953514">
            <w:pPr>
              <w:jc w:val="right"/>
            </w:pPr>
            <w:r>
              <w:t>£4,000</w:t>
            </w:r>
          </w:p>
        </w:tc>
      </w:tr>
    </w:tbl>
    <w:p w:rsidR="00EC7806" w:rsidRDefault="00EC7806" w:rsidP="00EC7806"/>
    <w:p w:rsidR="0050462E" w:rsidRPr="0050462E" w:rsidRDefault="0050462E" w:rsidP="0050462E">
      <w:pPr>
        <w:rPr>
          <w:b/>
        </w:rPr>
      </w:pPr>
      <w:r w:rsidRPr="0050462E">
        <w:rPr>
          <w:b/>
        </w:rPr>
        <w:t>Follow-on plans objectives:</w:t>
      </w:r>
    </w:p>
    <w:p w:rsidR="0050462E" w:rsidRDefault="0050462E" w:rsidP="0050462E">
      <w:r>
        <w:lastRenderedPageBreak/>
        <w:t>To follow up on the lines that we have since created, we intend to use the additional £1,000 towards the thorough characterisation of the stable transformants line that we have since received/or will be receiving. We expect about 10-15 independent transformants per line.</w:t>
      </w:r>
    </w:p>
    <w:p w:rsidR="0050462E" w:rsidRPr="0050462E" w:rsidRDefault="0050462E" w:rsidP="0050462E">
      <w:pPr>
        <w:rPr>
          <w:b/>
        </w:rPr>
      </w:pPr>
      <w:r w:rsidRPr="0050462E">
        <w:rPr>
          <w:b/>
        </w:rPr>
        <w:t>Below is the itemised breakdown of how we expect to use the £1,000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50462E" w:rsidTr="00D0329B">
        <w:tc>
          <w:tcPr>
            <w:tcW w:w="1555" w:type="dxa"/>
            <w:shd w:val="clear" w:color="auto" w:fill="FFFF00"/>
          </w:tcPr>
          <w:p w:rsidR="0050462E" w:rsidRPr="00601A03" w:rsidRDefault="0050462E" w:rsidP="00D0329B">
            <w:pPr>
              <w:rPr>
                <w:b/>
              </w:rPr>
            </w:pPr>
            <w:r w:rsidRPr="00601A03">
              <w:rPr>
                <w:b/>
              </w:rPr>
              <w:t>Category</w:t>
            </w:r>
          </w:p>
        </w:tc>
        <w:tc>
          <w:tcPr>
            <w:tcW w:w="4455" w:type="dxa"/>
            <w:shd w:val="clear" w:color="auto" w:fill="FFFF00"/>
          </w:tcPr>
          <w:p w:rsidR="0050462E" w:rsidRPr="00601A03" w:rsidRDefault="0050462E" w:rsidP="00D0329B">
            <w:pPr>
              <w:rPr>
                <w:b/>
              </w:rPr>
            </w:pPr>
            <w:r w:rsidRPr="00601A03">
              <w:rPr>
                <w:b/>
              </w:rPr>
              <w:t>Items</w:t>
            </w:r>
          </w:p>
        </w:tc>
        <w:tc>
          <w:tcPr>
            <w:tcW w:w="3006" w:type="dxa"/>
            <w:shd w:val="clear" w:color="auto" w:fill="FFFF00"/>
          </w:tcPr>
          <w:p w:rsidR="0050462E" w:rsidRPr="00601A03" w:rsidRDefault="0050462E" w:rsidP="00D0329B">
            <w:pPr>
              <w:rPr>
                <w:b/>
              </w:rPr>
            </w:pPr>
            <w:r w:rsidRPr="00601A03">
              <w:rPr>
                <w:b/>
              </w:rPr>
              <w:t>Cost</w:t>
            </w:r>
          </w:p>
        </w:tc>
      </w:tr>
      <w:tr w:rsidR="0050462E" w:rsidTr="00D0329B">
        <w:tc>
          <w:tcPr>
            <w:tcW w:w="1555" w:type="dxa"/>
            <w:vMerge w:val="restart"/>
          </w:tcPr>
          <w:p w:rsidR="0050462E" w:rsidRDefault="0050462E" w:rsidP="00D0329B">
            <w:r>
              <w:t>PCR/qPCR and Sequencing to evaluate transgene expression</w:t>
            </w:r>
          </w:p>
        </w:tc>
        <w:tc>
          <w:tcPr>
            <w:tcW w:w="4455" w:type="dxa"/>
          </w:tcPr>
          <w:p w:rsidR="0050462E" w:rsidRDefault="0050462E" w:rsidP="00D0329B">
            <w:proofErr w:type="spellStart"/>
            <w:r>
              <w:t>Genewiz</w:t>
            </w:r>
            <w:proofErr w:type="spellEnd"/>
            <w:r>
              <w:t xml:space="preserve"> Account and Top-up </w:t>
            </w:r>
          </w:p>
        </w:tc>
        <w:tc>
          <w:tcPr>
            <w:tcW w:w="3006" w:type="dxa"/>
          </w:tcPr>
          <w:p w:rsidR="0050462E" w:rsidRDefault="0050462E" w:rsidP="00D0329B">
            <w:r>
              <w:t>£300 (good for c. 60 reactions)</w:t>
            </w:r>
          </w:p>
        </w:tc>
      </w:tr>
      <w:tr w:rsidR="0050462E" w:rsidTr="00D0329B">
        <w:tc>
          <w:tcPr>
            <w:tcW w:w="1555" w:type="dxa"/>
            <w:vMerge/>
          </w:tcPr>
          <w:p w:rsidR="0050462E" w:rsidRDefault="0050462E" w:rsidP="00D0329B"/>
        </w:tc>
        <w:tc>
          <w:tcPr>
            <w:tcW w:w="4455" w:type="dxa"/>
          </w:tcPr>
          <w:p w:rsidR="0050462E" w:rsidRDefault="0050462E" w:rsidP="00D0329B">
            <w:r>
              <w:t>Primer synthesis</w:t>
            </w:r>
          </w:p>
        </w:tc>
        <w:tc>
          <w:tcPr>
            <w:tcW w:w="3006" w:type="dxa"/>
          </w:tcPr>
          <w:p w:rsidR="0050462E" w:rsidRDefault="0050462E" w:rsidP="00D0329B">
            <w:r>
              <w:t>£50</w:t>
            </w:r>
          </w:p>
        </w:tc>
      </w:tr>
      <w:tr w:rsidR="0050462E" w:rsidTr="00D0329B">
        <w:tc>
          <w:tcPr>
            <w:tcW w:w="1555" w:type="dxa"/>
            <w:vMerge/>
          </w:tcPr>
          <w:p w:rsidR="0050462E" w:rsidRDefault="0050462E" w:rsidP="00D0329B"/>
        </w:tc>
        <w:tc>
          <w:tcPr>
            <w:tcW w:w="4455" w:type="dxa"/>
          </w:tcPr>
          <w:p w:rsidR="0050462E" w:rsidRDefault="0050462E" w:rsidP="00D0329B">
            <w:r>
              <w:t>RNeasy Plant Kit (2x 50)</w:t>
            </w:r>
          </w:p>
        </w:tc>
        <w:tc>
          <w:tcPr>
            <w:tcW w:w="3006" w:type="dxa"/>
          </w:tcPr>
          <w:p w:rsidR="0050462E" w:rsidRDefault="0050462E" w:rsidP="00D0329B">
            <w:r>
              <w:t>£400</w:t>
            </w:r>
          </w:p>
        </w:tc>
      </w:tr>
      <w:tr w:rsidR="0050462E" w:rsidTr="00D0329B">
        <w:tc>
          <w:tcPr>
            <w:tcW w:w="1555" w:type="dxa"/>
            <w:vMerge/>
          </w:tcPr>
          <w:p w:rsidR="0050462E" w:rsidRDefault="0050462E" w:rsidP="00D0329B"/>
        </w:tc>
        <w:tc>
          <w:tcPr>
            <w:tcW w:w="4455" w:type="dxa"/>
          </w:tcPr>
          <w:p w:rsidR="0050462E" w:rsidRDefault="0050462E" w:rsidP="00D0329B">
            <w:r>
              <w:t xml:space="preserve">Superscript II </w:t>
            </w:r>
          </w:p>
        </w:tc>
        <w:tc>
          <w:tcPr>
            <w:tcW w:w="3006" w:type="dxa"/>
          </w:tcPr>
          <w:p w:rsidR="0050462E" w:rsidRDefault="0050462E" w:rsidP="00D0329B">
            <w:r>
              <w:t>£250</w:t>
            </w:r>
          </w:p>
        </w:tc>
      </w:tr>
      <w:tr w:rsidR="0050462E" w:rsidTr="00DA0EA1">
        <w:tc>
          <w:tcPr>
            <w:tcW w:w="6010" w:type="dxa"/>
            <w:gridSpan w:val="2"/>
            <w:shd w:val="clear" w:color="auto" w:fill="FFC000"/>
          </w:tcPr>
          <w:p w:rsidR="0050462E" w:rsidRDefault="0050462E" w:rsidP="00D0329B">
            <w:r>
              <w:t>Total</w:t>
            </w:r>
          </w:p>
        </w:tc>
        <w:tc>
          <w:tcPr>
            <w:tcW w:w="3006" w:type="dxa"/>
          </w:tcPr>
          <w:p w:rsidR="0050462E" w:rsidRDefault="0050462E" w:rsidP="00D0329B">
            <w:pPr>
              <w:jc w:val="right"/>
            </w:pPr>
            <w:r>
              <w:t>£1,000</w:t>
            </w:r>
          </w:p>
        </w:tc>
      </w:tr>
    </w:tbl>
    <w:p w:rsidR="0050462E" w:rsidRDefault="0050462E" w:rsidP="0050462E">
      <w:r>
        <w:t>The remaining expenditure (</w:t>
      </w:r>
      <w:r>
        <w:t xml:space="preserve">Horticultural, transformation costs, </w:t>
      </w:r>
      <w:proofErr w:type="spellStart"/>
      <w:r>
        <w:t>gDNA</w:t>
      </w:r>
      <w:proofErr w:type="spellEnd"/>
      <w:r>
        <w:t xml:space="preserve"> genotyping, </w:t>
      </w:r>
      <w:proofErr w:type="spellStart"/>
      <w:r>
        <w:t>GoTaq</w:t>
      </w:r>
      <w:proofErr w:type="spellEnd"/>
      <w:r>
        <w:t xml:space="preserve"> G2 flexi polymerase costs) will be borne by us.</w:t>
      </w:r>
    </w:p>
    <w:p w:rsidR="0050462E" w:rsidRPr="0050462E" w:rsidRDefault="0050462E" w:rsidP="00EC7806">
      <w:pPr>
        <w:rPr>
          <w:b/>
        </w:rPr>
      </w:pPr>
    </w:p>
    <w:sectPr w:rsidR="0050462E" w:rsidRPr="00504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2DD"/>
    <w:multiLevelType w:val="hybridMultilevel"/>
    <w:tmpl w:val="58041B8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F844A6"/>
    <w:multiLevelType w:val="multilevel"/>
    <w:tmpl w:val="973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BD64D9"/>
    <w:multiLevelType w:val="hybridMultilevel"/>
    <w:tmpl w:val="697EA8D6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6"/>
    <w:rsid w:val="0050462E"/>
    <w:rsid w:val="00555466"/>
    <w:rsid w:val="005C68AE"/>
    <w:rsid w:val="005E27B3"/>
    <w:rsid w:val="00601A03"/>
    <w:rsid w:val="00953514"/>
    <w:rsid w:val="00B37CCD"/>
    <w:rsid w:val="00C12B18"/>
    <w:rsid w:val="00DB23FE"/>
    <w:rsid w:val="00E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7B77"/>
  <w15:chartTrackingRefBased/>
  <w15:docId w15:val="{8EDCC6BD-94BA-458F-AA8E-9470F038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2890</Characters>
  <Application>Microsoft Office Word</Application>
  <DocSecurity>0</DocSecurity>
  <Lines>30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Hao Chiu</dc:creator>
  <cp:keywords/>
  <dc:description/>
  <cp:lastModifiedBy>Chai Hao Chiu</cp:lastModifiedBy>
  <cp:revision>2</cp:revision>
  <dcterms:created xsi:type="dcterms:W3CDTF">2019-05-21T22:47:00Z</dcterms:created>
  <dcterms:modified xsi:type="dcterms:W3CDTF">2019-05-21T22:47:00Z</dcterms:modified>
</cp:coreProperties>
</file>